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lang w:eastAsia="zh-CN"/>
        </w:rPr>
        <w:t>医院</w:t>
      </w:r>
      <w:r>
        <w:rPr>
          <w:rFonts w:hint="eastAsia"/>
          <w:b/>
          <w:sz w:val="32"/>
          <w:szCs w:val="32"/>
        </w:rPr>
        <w:t>综合信息管理平台（OA）</w:t>
      </w:r>
      <w:r>
        <w:rPr>
          <w:rFonts w:hint="eastAsia"/>
          <w:b/>
          <w:sz w:val="32"/>
          <w:szCs w:val="32"/>
          <w:lang w:eastAsia="zh-CN"/>
        </w:rPr>
        <w:t>系统</w:t>
      </w:r>
      <w:r>
        <w:rPr>
          <w:rFonts w:hint="eastAsia"/>
          <w:b/>
          <w:sz w:val="32"/>
          <w:szCs w:val="32"/>
        </w:rPr>
        <w:t>询价单</w:t>
      </w:r>
    </w:p>
    <w:p w14:paraId="1C86460E">
      <w:pPr>
        <w:ind w:firstLine="700" w:firstLineChars="250"/>
        <w:rPr>
          <w:rFonts w:ascii="宋体" w:hAnsi="宋体"/>
          <w:sz w:val="28"/>
          <w:szCs w:val="28"/>
        </w:rPr>
      </w:pPr>
      <w:r>
        <w:rPr>
          <w:rFonts w:hint="eastAsia" w:ascii="宋体" w:hAnsi="宋体"/>
          <w:sz w:val="28"/>
          <w:szCs w:val="28"/>
        </w:rPr>
        <w:t>公司名称（盖章）：</w:t>
      </w:r>
    </w:p>
    <w:tbl>
      <w:tblPr>
        <w:tblStyle w:val="29"/>
        <w:tblW w:w="12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599"/>
        <w:gridCol w:w="1134"/>
        <w:gridCol w:w="1134"/>
        <w:gridCol w:w="1275"/>
        <w:gridCol w:w="1418"/>
        <w:gridCol w:w="3429"/>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4EC91B77">
            <w:pPr>
              <w:jc w:val="center"/>
              <w:rPr>
                <w:rFonts w:ascii="宋体" w:hAnsi="宋体"/>
                <w:sz w:val="24"/>
              </w:rPr>
            </w:pPr>
            <w:r>
              <w:rPr>
                <w:rFonts w:hint="eastAsia" w:ascii="宋体" w:hAnsi="宋体"/>
                <w:sz w:val="24"/>
              </w:rPr>
              <w:t>序号</w:t>
            </w:r>
          </w:p>
        </w:tc>
        <w:tc>
          <w:tcPr>
            <w:tcW w:w="2599" w:type="dxa"/>
            <w:vAlign w:val="center"/>
          </w:tcPr>
          <w:p w14:paraId="7CF6A5C4">
            <w:pPr>
              <w:jc w:val="center"/>
              <w:rPr>
                <w:rFonts w:ascii="宋体" w:hAnsi="宋体"/>
                <w:sz w:val="24"/>
              </w:rPr>
            </w:pPr>
            <w:r>
              <w:rPr>
                <w:rFonts w:hint="eastAsia" w:ascii="宋体" w:hAnsi="宋体"/>
                <w:sz w:val="24"/>
              </w:rPr>
              <w:t>项目名称</w:t>
            </w:r>
          </w:p>
        </w:tc>
        <w:tc>
          <w:tcPr>
            <w:tcW w:w="1134" w:type="dxa"/>
            <w:vAlign w:val="center"/>
          </w:tcPr>
          <w:p w14:paraId="48387FB2">
            <w:pPr>
              <w:jc w:val="center"/>
              <w:rPr>
                <w:rFonts w:ascii="宋体" w:hAnsi="宋体"/>
                <w:sz w:val="24"/>
              </w:rPr>
            </w:pPr>
            <w:r>
              <w:rPr>
                <w:rFonts w:hint="eastAsia" w:ascii="宋体" w:hAnsi="宋体"/>
                <w:sz w:val="24"/>
              </w:rPr>
              <w:t>单位</w:t>
            </w:r>
          </w:p>
        </w:tc>
        <w:tc>
          <w:tcPr>
            <w:tcW w:w="1134" w:type="dxa"/>
            <w:vAlign w:val="center"/>
          </w:tcPr>
          <w:p w14:paraId="65921101">
            <w:pPr>
              <w:jc w:val="center"/>
              <w:rPr>
                <w:rFonts w:ascii="宋体" w:hAnsi="宋体"/>
                <w:sz w:val="24"/>
              </w:rPr>
            </w:pPr>
            <w:r>
              <w:rPr>
                <w:rFonts w:hint="eastAsia" w:ascii="宋体" w:hAnsi="宋体"/>
                <w:sz w:val="24"/>
              </w:rPr>
              <w:t>数量</w:t>
            </w:r>
          </w:p>
        </w:tc>
        <w:tc>
          <w:tcPr>
            <w:tcW w:w="1275" w:type="dxa"/>
            <w:vAlign w:val="center"/>
          </w:tcPr>
          <w:p w14:paraId="1CF14783">
            <w:pPr>
              <w:jc w:val="center"/>
              <w:rPr>
                <w:rFonts w:ascii="宋体" w:hAnsi="宋体"/>
                <w:sz w:val="24"/>
              </w:rPr>
            </w:pPr>
            <w:r>
              <w:rPr>
                <w:rFonts w:hint="eastAsia" w:ascii="宋体" w:hAnsi="宋体"/>
                <w:sz w:val="24"/>
                <w:lang w:val="en-US" w:eastAsia="zh-CN"/>
              </w:rPr>
              <w:t>金额</w:t>
            </w:r>
            <w:r>
              <w:rPr>
                <w:rFonts w:hint="eastAsia" w:ascii="宋体" w:hAnsi="宋体"/>
                <w:sz w:val="24"/>
              </w:rPr>
              <w:t>（元）</w:t>
            </w:r>
          </w:p>
        </w:tc>
        <w:tc>
          <w:tcPr>
            <w:tcW w:w="1418" w:type="dxa"/>
            <w:vAlign w:val="center"/>
          </w:tcPr>
          <w:p w14:paraId="41E2E430">
            <w:pPr>
              <w:jc w:val="center"/>
              <w:rPr>
                <w:rFonts w:ascii="宋体" w:hAnsi="宋体"/>
                <w:sz w:val="24"/>
              </w:rPr>
            </w:pPr>
            <w:r>
              <w:rPr>
                <w:rFonts w:hint="eastAsia" w:ascii="宋体" w:hAnsi="宋体"/>
                <w:sz w:val="24"/>
              </w:rPr>
              <w:t>控制价（元）</w:t>
            </w:r>
          </w:p>
        </w:tc>
        <w:tc>
          <w:tcPr>
            <w:tcW w:w="3429"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62686C52">
            <w:pPr>
              <w:jc w:val="center"/>
              <w:rPr>
                <w:rFonts w:ascii="宋体" w:hAnsi="宋体"/>
                <w:sz w:val="24"/>
              </w:rPr>
            </w:pPr>
            <w:bookmarkStart w:id="0" w:name="OLE_LINK6" w:colFirst="3" w:colLast="3"/>
            <w:bookmarkStart w:id="1" w:name="OLE_LINK7" w:colFirst="5" w:colLast="5"/>
            <w:bookmarkStart w:id="2" w:name="OLE_LINK11" w:colFirst="1" w:colLast="1"/>
            <w:bookmarkStart w:id="3" w:name="OLE_LINK5" w:colFirst="1" w:colLast="1"/>
            <w:bookmarkStart w:id="4" w:name="OLE_LINK3" w:colFirst="5" w:colLast="5"/>
            <w:r>
              <w:rPr>
                <w:rFonts w:hint="eastAsia" w:ascii="宋体" w:hAnsi="宋体"/>
                <w:sz w:val="24"/>
              </w:rPr>
              <w:t>1</w:t>
            </w:r>
          </w:p>
        </w:tc>
        <w:tc>
          <w:tcPr>
            <w:tcW w:w="2599" w:type="dxa"/>
            <w:shd w:val="clear" w:color="FFFF00" w:fill="auto"/>
            <w:vAlign w:val="center"/>
          </w:tcPr>
          <w:p w14:paraId="6869F9F0">
            <w:pPr>
              <w:jc w:val="center"/>
              <w:rPr>
                <w:rFonts w:hint="eastAsia" w:ascii="宋体" w:hAnsi="宋体" w:eastAsiaTheme="minorEastAsia"/>
                <w:sz w:val="24"/>
                <w:lang w:eastAsia="zh-CN"/>
              </w:rPr>
            </w:pPr>
            <w:r>
              <w:rPr>
                <w:rFonts w:hint="eastAsia" w:ascii="宋体" w:hAnsi="宋体"/>
                <w:sz w:val="24"/>
                <w:lang w:eastAsia="zh-CN"/>
              </w:rPr>
              <w:t>医院</w:t>
            </w:r>
            <w:r>
              <w:rPr>
                <w:rFonts w:hint="eastAsia" w:ascii="宋体" w:hAnsi="宋体"/>
                <w:sz w:val="24"/>
              </w:rPr>
              <w:t>综合信息管理平台（OA）</w:t>
            </w:r>
            <w:r>
              <w:rPr>
                <w:rFonts w:hint="eastAsia" w:ascii="宋体" w:hAnsi="宋体"/>
                <w:sz w:val="24"/>
                <w:lang w:eastAsia="zh-CN"/>
              </w:rPr>
              <w:t>系统</w:t>
            </w:r>
          </w:p>
        </w:tc>
        <w:tc>
          <w:tcPr>
            <w:tcW w:w="1134" w:type="dxa"/>
            <w:shd w:val="clear" w:color="FFFF00" w:fill="auto"/>
            <w:vAlign w:val="center"/>
          </w:tcPr>
          <w:p w14:paraId="2CDDE14D">
            <w:pPr>
              <w:jc w:val="center"/>
              <w:rPr>
                <w:rFonts w:hint="eastAsia" w:ascii="宋体" w:hAnsi="宋体" w:eastAsiaTheme="minorEastAsia"/>
                <w:sz w:val="24"/>
                <w:lang w:eastAsia="zh-CN"/>
              </w:rPr>
            </w:pPr>
            <w:r>
              <w:rPr>
                <w:rFonts w:hint="eastAsia" w:ascii="宋体" w:hAnsi="宋体"/>
                <w:sz w:val="24"/>
                <w:lang w:val="en-US" w:eastAsia="zh-CN"/>
              </w:rPr>
              <w:t>套</w:t>
            </w:r>
          </w:p>
        </w:tc>
        <w:tc>
          <w:tcPr>
            <w:tcW w:w="1134" w:type="dxa"/>
            <w:shd w:val="clear" w:color="FFFF00" w:fill="auto"/>
            <w:vAlign w:val="center"/>
          </w:tcPr>
          <w:p w14:paraId="660E9B8B">
            <w:pPr>
              <w:jc w:val="center"/>
              <w:rPr>
                <w:rFonts w:hint="eastAsia" w:ascii="宋体" w:hAnsi="宋体" w:eastAsiaTheme="minorEastAsia"/>
                <w:sz w:val="24"/>
                <w:lang w:eastAsia="zh-CN"/>
              </w:rPr>
            </w:pPr>
            <w:r>
              <w:rPr>
                <w:rFonts w:hint="eastAsia" w:ascii="宋体" w:hAnsi="宋体"/>
                <w:sz w:val="24"/>
                <w:lang w:val="en-US" w:eastAsia="zh-CN"/>
              </w:rPr>
              <w:t>1</w:t>
            </w:r>
          </w:p>
        </w:tc>
        <w:tc>
          <w:tcPr>
            <w:tcW w:w="1275" w:type="dxa"/>
            <w:shd w:val="clear" w:color="FFFF00" w:fill="auto"/>
          </w:tcPr>
          <w:p w14:paraId="5E8D00C5">
            <w:pPr>
              <w:jc w:val="center"/>
              <w:rPr>
                <w:rFonts w:cs="宋体" w:asciiTheme="minorEastAsia" w:hAnsiTheme="minorEastAsia"/>
                <w:sz w:val="24"/>
              </w:rPr>
            </w:pP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58000</w:t>
            </w:r>
          </w:p>
        </w:tc>
        <w:tc>
          <w:tcPr>
            <w:tcW w:w="3429"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1、询价会报名时间为202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19</w:t>
      </w:r>
      <w:bookmarkStart w:id="5" w:name="_GoBack"/>
      <w:bookmarkEnd w:id="5"/>
      <w:r>
        <w:rPr>
          <w:rFonts w:hint="eastAsia" w:ascii="宋体" w:hAnsi="宋体"/>
          <w:sz w:val="24"/>
        </w:rPr>
        <w:t>日至202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24</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2、拟参与询价公司要提供详细的报价方案。</w:t>
      </w:r>
    </w:p>
    <w:p w14:paraId="111CC312">
      <w:pPr>
        <w:spacing w:line="380" w:lineRule="exact"/>
        <w:rPr>
          <w:rFonts w:ascii="宋体" w:hAnsi="宋体"/>
          <w:sz w:val="24"/>
        </w:rPr>
      </w:pPr>
      <w:r>
        <w:rPr>
          <w:rFonts w:hint="eastAsia" w:ascii="宋体" w:hAnsi="宋体"/>
          <w:sz w:val="24"/>
        </w:rPr>
        <w:t>3、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0B945367">
      <w:pPr>
        <w:spacing w:line="380" w:lineRule="exact"/>
        <w:rPr>
          <w:rFonts w:ascii="宋体" w:hAnsi="宋体"/>
          <w:sz w:val="24"/>
        </w:rPr>
      </w:pPr>
      <w:r>
        <w:rPr>
          <w:rFonts w:hint="eastAsia" w:ascii="宋体" w:hAnsi="宋体"/>
          <w:sz w:val="24"/>
        </w:rPr>
        <w:t>4、询价文件包括：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以上材料均需加盖公章。</w:t>
      </w:r>
    </w:p>
    <w:p w14:paraId="107D44F4">
      <w:pPr>
        <w:spacing w:line="380" w:lineRule="exact"/>
        <w:rPr>
          <w:rFonts w:ascii="宋体" w:hAnsi="宋体"/>
          <w:sz w:val="24"/>
        </w:rPr>
      </w:pPr>
      <w:r>
        <w:rPr>
          <w:rFonts w:hint="eastAsia" w:ascii="宋体" w:hAnsi="宋体"/>
          <w:sz w:val="24"/>
        </w:rPr>
        <w:t>5、文件提交截止时间：202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2543" w:type="pct"/>
            <w:vAlign w:val="top"/>
          </w:tcPr>
          <w:p w14:paraId="18FC7450">
            <w:pPr>
              <w:widowControl w:val="0"/>
              <w:tabs>
                <w:tab w:val="left" w:pos="5355"/>
              </w:tabs>
              <w:jc w:val="both"/>
              <w:rPr>
                <w:rFonts w:hint="eastAsia" w:asciiTheme="minorEastAsia" w:hAnsiTheme="minorEastAsia"/>
                <w:sz w:val="20"/>
                <w:lang w:val="en-US" w:eastAsia="zh-CN"/>
              </w:rPr>
            </w:pPr>
            <w:r>
              <w:rPr>
                <w:rFonts w:hint="eastAsia" w:asciiTheme="minorEastAsia" w:hAnsiTheme="minorEastAsia"/>
                <w:sz w:val="20"/>
                <w:lang w:val="en-US" w:eastAsia="zh-CN"/>
              </w:rPr>
              <w:t>日常管理</w:t>
            </w:r>
          </w:p>
          <w:p w14:paraId="28341239">
            <w:pPr>
              <w:widowControl w:val="0"/>
              <w:tabs>
                <w:tab w:val="left" w:pos="5355"/>
              </w:tabs>
              <w:jc w:val="both"/>
              <w:rPr>
                <w:rFonts w:hint="eastAsia" w:asciiTheme="minorEastAsia" w:hAnsiTheme="minorEastAsia"/>
                <w:sz w:val="20"/>
                <w:lang w:val="en-US" w:eastAsia="zh-CN"/>
              </w:rPr>
            </w:pPr>
            <w:r>
              <w:rPr>
                <w:rFonts w:hint="eastAsia" w:asciiTheme="minorEastAsia" w:hAnsiTheme="minorEastAsia"/>
                <w:sz w:val="20"/>
                <w:lang w:val="en-US" w:eastAsia="zh-CN"/>
              </w:rPr>
              <w:t>主要包括个人自助查询，个人通讯录，我的待办，站内邮件，日程安排，密码修改，代理人设置模块；实现系统个人日常相关信息查看，办理，以及系统设置的管理。</w:t>
            </w:r>
          </w:p>
          <w:p w14:paraId="5C663660">
            <w:pPr>
              <w:jc w:val="both"/>
              <w:rPr>
                <w:rFonts w:hint="eastAsia" w:ascii="宋体" w:hAnsi="宋体" w:eastAsia="宋体" w:cs="宋体"/>
                <w:color w:val="auto"/>
                <w:kern w:val="2"/>
                <w:sz w:val="24"/>
                <w:szCs w:val="28"/>
                <w:lang w:val="en-US" w:eastAsia="zh-CN" w:bidi="ar-SA"/>
              </w:rPr>
            </w:pP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3AB3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AFAE4DE">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2</w:t>
            </w:r>
          </w:p>
        </w:tc>
        <w:tc>
          <w:tcPr>
            <w:tcW w:w="2543" w:type="pct"/>
            <w:vAlign w:val="center"/>
          </w:tcPr>
          <w:p w14:paraId="30AF656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资讯管理</w:t>
            </w:r>
          </w:p>
          <w:p w14:paraId="57239E0F">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主要包括通知公告，院内新闻，院报管理，廉洁文化，院务公开，党务公开，医师出诊表，服务谰价，全院科室资料库模块；实现医院各类资讯的发布，编辑，浏览，查阅管理。</w:t>
            </w:r>
          </w:p>
        </w:tc>
        <w:tc>
          <w:tcPr>
            <w:tcW w:w="1107" w:type="pct"/>
            <w:vAlign w:val="center"/>
          </w:tcPr>
          <w:p w14:paraId="544F2CB9">
            <w:pPr>
              <w:widowControl w:val="0"/>
              <w:tabs>
                <w:tab w:val="left" w:pos="5355"/>
              </w:tabs>
              <w:rPr>
                <w:rFonts w:ascii="仿宋_GB2312" w:hAnsi="宋体" w:eastAsia="仿宋_GB2312"/>
                <w:sz w:val="18"/>
              </w:rPr>
            </w:pPr>
          </w:p>
        </w:tc>
        <w:tc>
          <w:tcPr>
            <w:tcW w:w="1106" w:type="pct"/>
            <w:vAlign w:val="center"/>
          </w:tcPr>
          <w:p w14:paraId="1C382B1F">
            <w:pPr>
              <w:widowControl w:val="0"/>
              <w:tabs>
                <w:tab w:val="left" w:pos="5355"/>
              </w:tabs>
              <w:rPr>
                <w:rFonts w:ascii="仿宋_GB2312" w:hAnsi="宋体" w:eastAsia="仿宋_GB2312"/>
                <w:sz w:val="18"/>
              </w:rPr>
            </w:pPr>
          </w:p>
        </w:tc>
      </w:tr>
      <w:tr w14:paraId="52D5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95E555E">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3</w:t>
            </w:r>
          </w:p>
        </w:tc>
        <w:tc>
          <w:tcPr>
            <w:tcW w:w="2543" w:type="pct"/>
            <w:vAlign w:val="center"/>
          </w:tcPr>
          <w:p w14:paraId="07BC6DCF">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行政审批</w:t>
            </w:r>
          </w:p>
          <w:p w14:paraId="489341AF">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建立全院审批中心，实现无纸化审批管理，主要包括：</w:t>
            </w:r>
          </w:p>
          <w:p w14:paraId="0FEEA0D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1）行政类：会议室管理、车辆管理、员工服务管理，合同会签；</w:t>
            </w:r>
          </w:p>
          <w:p w14:paraId="16C26869">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2）后勤类：后勤类材料申请、后勤货物与服务采购项目申购表；</w:t>
            </w:r>
          </w:p>
          <w:p w14:paraId="5811C8C7">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3）信息类：信息设备采购申请、维修申请、拉网线申请、信息系统报表申请、系统权限申请，信息数据采集申请；</w:t>
            </w:r>
          </w:p>
          <w:p w14:paraId="3037576A">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4）设备类：1万以下设备申购，10万以下设备申购，10万元以上设备申购，30万以上申购；</w:t>
            </w:r>
          </w:p>
          <w:p w14:paraId="372B84B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5）投诉类：患者投诉登记处理，投诉转办处理，投诉整改处理；</w:t>
            </w:r>
          </w:p>
          <w:p w14:paraId="7132BB6D">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6）宣传类：宣传标识制作申请，电子显示屏发布申请，对外发布信息审核申请，院报发布申请，宣传稿件申请；</w:t>
            </w:r>
          </w:p>
          <w:p w14:paraId="5D852349">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7）固定资产类： 固定资产处置申请、工程建设项目采购申请；</w:t>
            </w:r>
          </w:p>
          <w:p w14:paraId="00B32432">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8）其他类： 其他类型的申请流程；</w:t>
            </w:r>
          </w:p>
          <w:p w14:paraId="65CFF9E6">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9）系统使用人员可以自行创建流程流转过程，除流程起始节点再无提前预置的流程节点步骤；</w:t>
            </w:r>
          </w:p>
          <w:p w14:paraId="7629679A">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10）流程审批权限能够按日常工作场景术语命名（比如审批可以改成“领导审批”“</w:t>
            </w:r>
            <w:r>
              <w:rPr>
                <w:rFonts w:hint="eastAsia" w:asciiTheme="minorEastAsia" w:hAnsiTheme="minorEastAsia"/>
                <w:sz w:val="20"/>
                <w:highlight w:val="none"/>
                <w:lang w:val="en-US" w:eastAsia="zh-CN"/>
              </w:rPr>
              <w:t>科室</w:t>
            </w:r>
            <w:r>
              <w:rPr>
                <w:rFonts w:hint="eastAsia" w:asciiTheme="minorEastAsia" w:hAnsiTheme="minorEastAsia"/>
                <w:sz w:val="20"/>
                <w:lang w:val="en-US" w:eastAsia="zh-CN"/>
              </w:rPr>
              <w:t>负责人审批”，加签可以改成“会签”等），引发的流程节点人员变更可以设定选人范围（指定选人范围）；</w:t>
            </w:r>
          </w:p>
          <w:p w14:paraId="60A12B13">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11）同一流程中的参与人员能够在流程中相互回复意见。</w:t>
            </w:r>
          </w:p>
        </w:tc>
        <w:tc>
          <w:tcPr>
            <w:tcW w:w="1107" w:type="pct"/>
            <w:vAlign w:val="center"/>
          </w:tcPr>
          <w:p w14:paraId="0D85E69B">
            <w:pPr>
              <w:widowControl w:val="0"/>
              <w:tabs>
                <w:tab w:val="left" w:pos="5355"/>
              </w:tabs>
              <w:rPr>
                <w:rFonts w:ascii="仿宋_GB2312" w:hAnsi="宋体" w:eastAsia="仿宋_GB2312"/>
                <w:sz w:val="18"/>
              </w:rPr>
            </w:pPr>
          </w:p>
        </w:tc>
        <w:tc>
          <w:tcPr>
            <w:tcW w:w="1106" w:type="pct"/>
            <w:vAlign w:val="center"/>
          </w:tcPr>
          <w:p w14:paraId="736F50F9">
            <w:pPr>
              <w:widowControl w:val="0"/>
              <w:tabs>
                <w:tab w:val="left" w:pos="5355"/>
              </w:tabs>
              <w:rPr>
                <w:rFonts w:ascii="仿宋_GB2312" w:hAnsi="宋体" w:eastAsia="仿宋_GB2312"/>
                <w:sz w:val="18"/>
              </w:rPr>
            </w:pPr>
          </w:p>
        </w:tc>
      </w:tr>
      <w:tr w14:paraId="025C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6227B23">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4</w:t>
            </w:r>
          </w:p>
        </w:tc>
        <w:tc>
          <w:tcPr>
            <w:tcW w:w="2543" w:type="pct"/>
            <w:vAlign w:val="center"/>
          </w:tcPr>
          <w:p w14:paraId="0D577ACE">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公文审批流程</w:t>
            </w:r>
          </w:p>
          <w:p w14:paraId="772819DF">
            <w:pPr>
              <w:widowControl w:val="0"/>
              <w:numPr>
                <w:ilvl w:val="0"/>
                <w:numId w:val="1"/>
              </w:numPr>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公文审批流程：包括发文流程、收文流程、会签审批、附件上传、公文催办；实现外单位来文的，签收登记，领导批示，科室传阅，公文办理反馈的全过程信息化管理；</w:t>
            </w:r>
          </w:p>
          <w:p w14:paraId="77E81EEB">
            <w:pPr>
              <w:widowControl w:val="0"/>
              <w:numPr>
                <w:ilvl w:val="0"/>
                <w:numId w:val="0"/>
              </w:numPr>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2）能在待批文件列表中完成快速办理。</w:t>
            </w:r>
          </w:p>
        </w:tc>
        <w:tc>
          <w:tcPr>
            <w:tcW w:w="1107" w:type="pct"/>
            <w:vAlign w:val="center"/>
          </w:tcPr>
          <w:p w14:paraId="53354F67">
            <w:pPr>
              <w:widowControl w:val="0"/>
              <w:tabs>
                <w:tab w:val="left" w:pos="5355"/>
              </w:tabs>
              <w:rPr>
                <w:rFonts w:ascii="仿宋_GB2312" w:hAnsi="宋体" w:eastAsia="仿宋_GB2312"/>
                <w:sz w:val="18"/>
              </w:rPr>
            </w:pPr>
          </w:p>
        </w:tc>
        <w:tc>
          <w:tcPr>
            <w:tcW w:w="1106" w:type="pct"/>
            <w:vAlign w:val="center"/>
          </w:tcPr>
          <w:p w14:paraId="4FED38B5">
            <w:pPr>
              <w:widowControl w:val="0"/>
              <w:tabs>
                <w:tab w:val="left" w:pos="5355"/>
              </w:tabs>
              <w:rPr>
                <w:rFonts w:ascii="仿宋_GB2312" w:hAnsi="宋体" w:eastAsia="仿宋_GB2312"/>
                <w:sz w:val="18"/>
              </w:rPr>
            </w:pPr>
          </w:p>
        </w:tc>
      </w:tr>
      <w:tr w14:paraId="5379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A4271A">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5</w:t>
            </w:r>
          </w:p>
        </w:tc>
        <w:tc>
          <w:tcPr>
            <w:tcW w:w="2543" w:type="pct"/>
            <w:vAlign w:val="center"/>
          </w:tcPr>
          <w:p w14:paraId="132ACF31">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工资奖金</w:t>
            </w:r>
          </w:p>
          <w:p w14:paraId="5B488865">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财务科用Excel导入工资结果的方式对全院职工日常各类奖金，补贴的二次发放全过程信息化管理。</w:t>
            </w:r>
          </w:p>
        </w:tc>
        <w:tc>
          <w:tcPr>
            <w:tcW w:w="1107" w:type="pct"/>
            <w:vAlign w:val="center"/>
          </w:tcPr>
          <w:p w14:paraId="7E02301B">
            <w:pPr>
              <w:widowControl w:val="0"/>
              <w:tabs>
                <w:tab w:val="left" w:pos="5355"/>
              </w:tabs>
              <w:rPr>
                <w:rFonts w:ascii="仿宋_GB2312" w:hAnsi="宋体" w:eastAsia="仿宋_GB2312"/>
                <w:sz w:val="18"/>
              </w:rPr>
            </w:pPr>
          </w:p>
        </w:tc>
        <w:tc>
          <w:tcPr>
            <w:tcW w:w="1106" w:type="pct"/>
            <w:vAlign w:val="center"/>
          </w:tcPr>
          <w:p w14:paraId="7FEFFB36">
            <w:pPr>
              <w:widowControl w:val="0"/>
              <w:tabs>
                <w:tab w:val="left" w:pos="5355"/>
              </w:tabs>
              <w:rPr>
                <w:rFonts w:ascii="仿宋_GB2312" w:hAnsi="宋体" w:eastAsia="仿宋_GB2312"/>
                <w:sz w:val="18"/>
              </w:rPr>
            </w:pPr>
          </w:p>
        </w:tc>
      </w:tr>
      <w:tr w14:paraId="4CC2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EFC4DBC">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6</w:t>
            </w:r>
          </w:p>
        </w:tc>
        <w:tc>
          <w:tcPr>
            <w:tcW w:w="2543" w:type="pct"/>
            <w:vAlign w:val="center"/>
          </w:tcPr>
          <w:p w14:paraId="1B45FE09">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人事管理</w:t>
            </w:r>
          </w:p>
          <w:p w14:paraId="5FC9EDE0">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 xml:space="preserve"> 1）外出管理：主要包括请假、销假、外出、调休申请；</w:t>
            </w:r>
          </w:p>
          <w:p w14:paraId="7C57CBDF">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 xml:space="preserve"> 2）考勤管理：建立考勤网络化上报管理，实现对医院月度考勤进行汇总与分析，主要包括月考勤上报，考勤审核，考勤汇总；</w:t>
            </w:r>
          </w:p>
          <w:p w14:paraId="4919B504">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 xml:space="preserve"> 3）排班管理：建立全院医疗，护理，行政一体的网络化的排班上报系统，方便掌握全院人员的动向。主要包括周排报上报，排班日志，排班统计汇总；</w:t>
            </w:r>
          </w:p>
          <w:p w14:paraId="4CFEEC6E">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 xml:space="preserve"> 4）行政总值班：包括班次配置，值班人员设置，按月生成总值班；</w:t>
            </w:r>
          </w:p>
          <w:p w14:paraId="16017419">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 xml:space="preserve"> 5）人事档案：实现对全院人员信息的统一管理，为人员考勤，奖金分配，排班提供基础数据信息；</w:t>
            </w:r>
          </w:p>
          <w:p w14:paraId="4FB9FA37">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 xml:space="preserve"> 6）医德考评流程：实现对全院人员的医德医风进行流程考评。</w:t>
            </w:r>
          </w:p>
        </w:tc>
        <w:tc>
          <w:tcPr>
            <w:tcW w:w="1107" w:type="pct"/>
            <w:vAlign w:val="center"/>
          </w:tcPr>
          <w:p w14:paraId="2A8A27E7">
            <w:pPr>
              <w:widowControl w:val="0"/>
              <w:tabs>
                <w:tab w:val="left" w:pos="5355"/>
              </w:tabs>
              <w:rPr>
                <w:rFonts w:ascii="仿宋_GB2312" w:hAnsi="宋体" w:eastAsia="仿宋_GB2312"/>
                <w:sz w:val="18"/>
              </w:rPr>
            </w:pPr>
          </w:p>
        </w:tc>
        <w:tc>
          <w:tcPr>
            <w:tcW w:w="1106" w:type="pct"/>
            <w:vAlign w:val="center"/>
          </w:tcPr>
          <w:p w14:paraId="3A8788B7">
            <w:pPr>
              <w:widowControl w:val="0"/>
              <w:tabs>
                <w:tab w:val="left" w:pos="5355"/>
              </w:tabs>
              <w:rPr>
                <w:rFonts w:ascii="仿宋_GB2312" w:hAnsi="宋体" w:eastAsia="仿宋_GB2312"/>
                <w:sz w:val="18"/>
              </w:rPr>
            </w:pPr>
          </w:p>
        </w:tc>
      </w:tr>
      <w:tr w14:paraId="7F3B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4D18AF07">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7</w:t>
            </w:r>
          </w:p>
        </w:tc>
        <w:tc>
          <w:tcPr>
            <w:tcW w:w="2543" w:type="pct"/>
            <w:vAlign w:val="center"/>
          </w:tcPr>
          <w:p w14:paraId="3EFBF7CF">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移动办公</w:t>
            </w:r>
          </w:p>
          <w:p w14:paraId="2558B1A7">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实现移动端的通知公告、新闻中心、科室资料库、工资查询、请假申请、门诊停诊申请、行政值班、门诊排班、电子邮件、审批中心。</w:t>
            </w:r>
          </w:p>
        </w:tc>
        <w:tc>
          <w:tcPr>
            <w:tcW w:w="1107" w:type="pct"/>
            <w:vAlign w:val="center"/>
          </w:tcPr>
          <w:p w14:paraId="1BC12D3A">
            <w:pPr>
              <w:widowControl w:val="0"/>
              <w:tabs>
                <w:tab w:val="left" w:pos="5355"/>
              </w:tabs>
              <w:rPr>
                <w:rFonts w:ascii="仿宋_GB2312" w:hAnsi="宋体" w:eastAsia="仿宋_GB2312"/>
                <w:sz w:val="18"/>
              </w:rPr>
            </w:pPr>
          </w:p>
        </w:tc>
        <w:tc>
          <w:tcPr>
            <w:tcW w:w="1106" w:type="pct"/>
            <w:vAlign w:val="center"/>
          </w:tcPr>
          <w:p w14:paraId="333504A9">
            <w:pPr>
              <w:widowControl w:val="0"/>
              <w:tabs>
                <w:tab w:val="left" w:pos="5355"/>
              </w:tabs>
              <w:rPr>
                <w:rFonts w:ascii="仿宋_GB2312" w:hAnsi="宋体" w:eastAsia="仿宋_GB2312"/>
                <w:sz w:val="18"/>
              </w:rPr>
            </w:pPr>
          </w:p>
        </w:tc>
      </w:tr>
      <w:tr w14:paraId="1D0C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1F051290">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8</w:t>
            </w:r>
          </w:p>
        </w:tc>
        <w:tc>
          <w:tcPr>
            <w:tcW w:w="2543" w:type="pct"/>
            <w:shd w:val="clear" w:color="auto" w:fill="auto"/>
            <w:vAlign w:val="center"/>
          </w:tcPr>
          <w:p w14:paraId="334AD4F7">
            <w:pPr>
              <w:widowControl w:val="0"/>
              <w:tabs>
                <w:tab w:val="left" w:pos="5355"/>
              </w:tabs>
              <w:jc w:val="left"/>
              <w:rPr>
                <w:rFonts w:hint="default" w:asciiTheme="minorEastAsia" w:hAnsiTheme="minorEastAsia"/>
                <w:sz w:val="20"/>
                <w:lang w:val="en-US" w:eastAsia="zh-CN"/>
              </w:rPr>
            </w:pPr>
            <w:r>
              <w:rPr>
                <w:rFonts w:hint="eastAsia" w:asciiTheme="minorEastAsia" w:hAnsiTheme="minorEastAsia"/>
                <w:sz w:val="20"/>
                <w:lang w:val="en-US" w:eastAsia="zh-CN"/>
              </w:rPr>
              <w:t>组织管理</w:t>
            </w:r>
          </w:p>
          <w:p w14:paraId="749FDAC0">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1）组织架构、人员信息、角色、权限等全量导出/导入；</w:t>
            </w:r>
          </w:p>
          <w:p w14:paraId="2C58F5FE">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2）支持一人多岗，系统能根据事项申请人的组织信息和当前节点的组织信息来生成当前节点默认的审批岗位和部门名称；</w:t>
            </w:r>
          </w:p>
          <w:p w14:paraId="0717174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3）同一人员可以在组织内、部门内、岗位序列内有不同的排序。</w:t>
            </w:r>
          </w:p>
        </w:tc>
        <w:tc>
          <w:tcPr>
            <w:tcW w:w="1107" w:type="pct"/>
            <w:vAlign w:val="center"/>
          </w:tcPr>
          <w:p w14:paraId="0AB29BDC">
            <w:pPr>
              <w:widowControl w:val="0"/>
              <w:tabs>
                <w:tab w:val="left" w:pos="5355"/>
              </w:tabs>
              <w:rPr>
                <w:rFonts w:ascii="仿宋_GB2312" w:hAnsi="宋体" w:eastAsia="仿宋_GB2312"/>
                <w:sz w:val="18"/>
              </w:rPr>
            </w:pPr>
          </w:p>
        </w:tc>
        <w:tc>
          <w:tcPr>
            <w:tcW w:w="1106" w:type="pct"/>
            <w:vAlign w:val="center"/>
          </w:tcPr>
          <w:p w14:paraId="79907CB2">
            <w:pPr>
              <w:widowControl w:val="0"/>
              <w:tabs>
                <w:tab w:val="left" w:pos="5355"/>
              </w:tabs>
              <w:rPr>
                <w:rFonts w:ascii="仿宋_GB2312" w:hAnsi="宋体" w:eastAsia="仿宋_GB2312"/>
                <w:sz w:val="18"/>
              </w:rPr>
            </w:pPr>
          </w:p>
        </w:tc>
      </w:tr>
      <w:tr w14:paraId="05F8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11676B26">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9</w:t>
            </w:r>
          </w:p>
        </w:tc>
        <w:tc>
          <w:tcPr>
            <w:tcW w:w="2543" w:type="pct"/>
            <w:vAlign w:val="center"/>
          </w:tcPr>
          <w:p w14:paraId="17BD5C77">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信息门户</w:t>
            </w:r>
          </w:p>
          <w:p w14:paraId="1EB281A3">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1）重要信息在电脑端和移动端都可以通过悬浮页面显示，且显示风格可以自动，比如视觉效果，自动匹配组织数据；（如员工生日提醒、重要公关等）</w:t>
            </w:r>
          </w:p>
          <w:p w14:paraId="3021F11A">
            <w:pPr>
              <w:widowControl w:val="0"/>
              <w:tabs>
                <w:tab w:val="left" w:pos="5355"/>
              </w:tabs>
              <w:jc w:val="left"/>
              <w:rPr>
                <w:rFonts w:hint="eastAsia" w:ascii="宋体" w:hAnsi="宋体" w:eastAsia="宋体" w:cs="宋体"/>
                <w:color w:val="auto"/>
                <w:kern w:val="2"/>
                <w:sz w:val="24"/>
                <w:szCs w:val="28"/>
                <w:lang w:val="en-US" w:eastAsia="zh-CN" w:bidi="ar-SA"/>
              </w:rPr>
            </w:pPr>
            <w:r>
              <w:rPr>
                <w:rFonts w:hint="eastAsia" w:asciiTheme="minorEastAsia" w:hAnsiTheme="minorEastAsia"/>
                <w:sz w:val="20"/>
                <w:lang w:val="en-US" w:eastAsia="zh-CN"/>
              </w:rPr>
              <w:t>2）登录背景图片可以设置按指定日期自动更换。（比如国庆节登录背景、元旦节登录背景）</w:t>
            </w:r>
          </w:p>
        </w:tc>
        <w:tc>
          <w:tcPr>
            <w:tcW w:w="1107" w:type="pct"/>
            <w:vAlign w:val="center"/>
          </w:tcPr>
          <w:p w14:paraId="3DFF549C">
            <w:pPr>
              <w:widowControl w:val="0"/>
              <w:tabs>
                <w:tab w:val="left" w:pos="5355"/>
              </w:tabs>
              <w:rPr>
                <w:rFonts w:ascii="仿宋_GB2312" w:hAnsi="宋体" w:eastAsia="仿宋_GB2312"/>
                <w:sz w:val="18"/>
              </w:rPr>
            </w:pPr>
          </w:p>
        </w:tc>
        <w:tc>
          <w:tcPr>
            <w:tcW w:w="1106" w:type="pct"/>
            <w:vAlign w:val="center"/>
          </w:tcPr>
          <w:p w14:paraId="1AFE8C99">
            <w:pPr>
              <w:widowControl w:val="0"/>
              <w:tabs>
                <w:tab w:val="left" w:pos="5355"/>
              </w:tabs>
              <w:rPr>
                <w:rFonts w:ascii="仿宋_GB2312" w:hAnsi="宋体" w:eastAsia="仿宋_GB2312"/>
                <w:sz w:val="18"/>
              </w:rPr>
            </w:pPr>
          </w:p>
        </w:tc>
      </w:tr>
      <w:tr w14:paraId="45C5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9" w:hRule="atLeast"/>
          <w:jc w:val="center"/>
        </w:trPr>
        <w:tc>
          <w:tcPr>
            <w:tcW w:w="242" w:type="pct"/>
            <w:vAlign w:val="center"/>
          </w:tcPr>
          <w:p w14:paraId="4E78488E">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10</w:t>
            </w:r>
          </w:p>
        </w:tc>
        <w:tc>
          <w:tcPr>
            <w:tcW w:w="2543" w:type="pct"/>
            <w:vAlign w:val="center"/>
          </w:tcPr>
          <w:p w14:paraId="4A04DA53">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移动网上办事大厅</w:t>
            </w:r>
          </w:p>
          <w:p w14:paraId="5679A0C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1、审批大厅配置管理，支持对行政审批类业务进行分级分类的配置，支持移动端，PC端同步配置；</w:t>
            </w:r>
          </w:p>
          <w:p w14:paraId="19BB9C0C">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2、网上办事大厅：建立统一的审批大厅入口。可以按分组进行选择相应的审批业务，发起申请、跟踪办理情况；</w:t>
            </w:r>
          </w:p>
          <w:p w14:paraId="20FE08E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3、移动审批中心门户：根据审批大厅的配置要求，按发组展示各类的行政审批业务，支持各行政审批业务在线发起申请，支持复制历史申请单发起申请。支持中断后重新进入发起；</w:t>
            </w:r>
          </w:p>
          <w:p w14:paraId="029A27B9">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4、移动待审管理：支持移动待办审批中可以回退，审核，作废，传阅，下载办理单操作；</w:t>
            </w:r>
            <w:r>
              <w:rPr>
                <w:rFonts w:hint="eastAsia" w:asciiTheme="minorEastAsia" w:hAnsiTheme="minorEastAsia"/>
                <w:sz w:val="20"/>
                <w:lang w:val="en-US" w:eastAsia="zh-CN"/>
              </w:rPr>
              <w:br w:type="textWrapping"/>
            </w:r>
            <w:r>
              <w:rPr>
                <w:rFonts w:hint="eastAsia" w:asciiTheme="minorEastAsia" w:hAnsiTheme="minorEastAsia"/>
                <w:sz w:val="20"/>
                <w:lang w:val="en-US" w:eastAsia="zh-CN"/>
              </w:rPr>
              <w:t>5、移动在审管理：支持移动待审信息中可以进行辙办，传阅，下载办理单操作；</w:t>
            </w:r>
            <w:r>
              <w:rPr>
                <w:rFonts w:hint="eastAsia" w:asciiTheme="minorEastAsia" w:hAnsiTheme="minorEastAsia"/>
                <w:sz w:val="20"/>
                <w:lang w:val="en-US" w:eastAsia="zh-CN"/>
              </w:rPr>
              <w:br w:type="textWrapping"/>
            </w:r>
            <w:r>
              <w:rPr>
                <w:rFonts w:hint="eastAsia" w:asciiTheme="minorEastAsia" w:hAnsiTheme="minorEastAsia"/>
                <w:sz w:val="20"/>
                <w:lang w:val="en-US" w:eastAsia="zh-CN"/>
              </w:rPr>
              <w:t>6、移动办结管理：支持移动办结信息中可以删除，重新发起操作,批量导出；</w:t>
            </w:r>
          </w:p>
          <w:p w14:paraId="2AF07074">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7移动我的发起：支持查看我发起的审批信息，支持查看作废的，进行中的，已删除的申请信息；</w:t>
            </w:r>
          </w:p>
          <w:p w14:paraId="1F63ACD2">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8、支持流转过程自动催办、自动流转功能；</w:t>
            </w:r>
          </w:p>
          <w:p w14:paraId="787D4F24">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9、待审批事项可以发送到聊天窗口完成快速审批；</w:t>
            </w:r>
          </w:p>
          <w:p w14:paraId="54755495">
            <w:pPr>
              <w:widowControl w:val="0"/>
              <w:tabs>
                <w:tab w:val="left" w:pos="5355"/>
              </w:tabs>
              <w:jc w:val="left"/>
              <w:rPr>
                <w:rFonts w:hint="eastAsia" w:asciiTheme="minorEastAsia" w:hAnsiTheme="minorEastAsia"/>
                <w:sz w:val="20"/>
              </w:rPr>
            </w:pPr>
            <w:r>
              <w:rPr>
                <w:rFonts w:hint="eastAsia" w:asciiTheme="minorEastAsia" w:hAnsiTheme="minorEastAsia"/>
                <w:sz w:val="20"/>
                <w:lang w:val="en-US" w:eastAsia="zh-CN"/>
              </w:rPr>
              <w:t>10、支持移动端。（APP、企业微信、钉钉、公众号）</w:t>
            </w:r>
          </w:p>
        </w:tc>
        <w:tc>
          <w:tcPr>
            <w:tcW w:w="1107" w:type="pct"/>
            <w:vAlign w:val="center"/>
          </w:tcPr>
          <w:p w14:paraId="1E1B046A">
            <w:pPr>
              <w:widowControl w:val="0"/>
              <w:tabs>
                <w:tab w:val="left" w:pos="5355"/>
              </w:tabs>
              <w:rPr>
                <w:rFonts w:ascii="仿宋_GB2312" w:hAnsi="宋体" w:eastAsia="仿宋_GB2312"/>
                <w:sz w:val="18"/>
              </w:rPr>
            </w:pPr>
          </w:p>
        </w:tc>
        <w:tc>
          <w:tcPr>
            <w:tcW w:w="1106" w:type="pct"/>
            <w:vAlign w:val="center"/>
          </w:tcPr>
          <w:p w14:paraId="49278E3F">
            <w:pPr>
              <w:widowControl w:val="0"/>
              <w:tabs>
                <w:tab w:val="left" w:pos="5355"/>
              </w:tabs>
              <w:rPr>
                <w:rFonts w:ascii="仿宋_GB2312" w:hAnsi="宋体" w:eastAsia="仿宋_GB2312"/>
                <w:sz w:val="18"/>
              </w:rPr>
            </w:pPr>
          </w:p>
        </w:tc>
      </w:tr>
      <w:tr w14:paraId="2CE3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B8DA7D1">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11</w:t>
            </w:r>
          </w:p>
        </w:tc>
        <w:tc>
          <w:tcPr>
            <w:tcW w:w="2543" w:type="pct"/>
            <w:vAlign w:val="center"/>
          </w:tcPr>
          <w:p w14:paraId="0E3DB638">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表单设计</w:t>
            </w:r>
          </w:p>
          <w:p w14:paraId="55C67BAA">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1、表单模板可以通过不同表单拼接而成，实现数据同步更新；</w:t>
            </w:r>
          </w:p>
          <w:p w14:paraId="7B7F851B">
            <w:pPr>
              <w:widowControl w:val="0"/>
              <w:tabs>
                <w:tab w:val="left" w:pos="5355"/>
              </w:tabs>
              <w:jc w:val="left"/>
              <w:rPr>
                <w:rFonts w:hint="eastAsia" w:ascii="宋体" w:hAnsi="宋体" w:eastAsia="宋体" w:cs="宋体"/>
                <w:color w:val="auto"/>
                <w:kern w:val="2"/>
                <w:sz w:val="24"/>
                <w:szCs w:val="28"/>
                <w:lang w:val="en-US" w:eastAsia="zh-CN" w:bidi="ar-SA"/>
              </w:rPr>
            </w:pPr>
            <w:r>
              <w:rPr>
                <w:rFonts w:hint="eastAsia" w:asciiTheme="minorEastAsia" w:hAnsiTheme="minorEastAsia"/>
                <w:sz w:val="20"/>
                <w:lang w:val="en-US" w:eastAsia="zh-CN"/>
              </w:rPr>
              <w:t>2、表单挂载的附件可以控制上传个数。</w:t>
            </w:r>
          </w:p>
        </w:tc>
        <w:tc>
          <w:tcPr>
            <w:tcW w:w="1107" w:type="pct"/>
            <w:vAlign w:val="center"/>
          </w:tcPr>
          <w:p w14:paraId="2A99B4FB">
            <w:pPr>
              <w:widowControl w:val="0"/>
              <w:tabs>
                <w:tab w:val="left" w:pos="5355"/>
              </w:tabs>
              <w:rPr>
                <w:rFonts w:ascii="仿宋_GB2312" w:hAnsi="宋体" w:eastAsia="仿宋_GB2312"/>
                <w:sz w:val="18"/>
              </w:rPr>
            </w:pPr>
          </w:p>
        </w:tc>
        <w:tc>
          <w:tcPr>
            <w:tcW w:w="1106" w:type="pct"/>
            <w:vAlign w:val="center"/>
          </w:tcPr>
          <w:p w14:paraId="1BB9EF3C">
            <w:pPr>
              <w:widowControl w:val="0"/>
              <w:tabs>
                <w:tab w:val="left" w:pos="5355"/>
              </w:tabs>
              <w:rPr>
                <w:rFonts w:ascii="仿宋_GB2312" w:hAnsi="宋体" w:eastAsia="仿宋_GB2312"/>
                <w:sz w:val="18"/>
              </w:rPr>
            </w:pPr>
          </w:p>
        </w:tc>
      </w:tr>
      <w:tr w14:paraId="2959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B471005">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12</w:t>
            </w:r>
          </w:p>
        </w:tc>
        <w:tc>
          <w:tcPr>
            <w:tcW w:w="2543" w:type="pct"/>
            <w:vAlign w:val="center"/>
          </w:tcPr>
          <w:p w14:paraId="1B4268B1">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系统集成</w:t>
            </w:r>
          </w:p>
          <w:p w14:paraId="54EA183C">
            <w:pPr>
              <w:widowControl w:val="0"/>
              <w:tabs>
                <w:tab w:val="left" w:pos="5355"/>
              </w:tabs>
              <w:jc w:val="left"/>
              <w:rPr>
                <w:rFonts w:hint="eastAsia" w:ascii="宋体" w:hAnsi="宋体" w:eastAsia="宋体" w:cs="宋体"/>
                <w:color w:val="auto"/>
                <w:kern w:val="2"/>
                <w:sz w:val="24"/>
                <w:szCs w:val="28"/>
                <w:lang w:val="en-US" w:eastAsia="zh-CN" w:bidi="ar-SA"/>
              </w:rPr>
            </w:pPr>
            <w:r>
              <w:rPr>
                <w:rFonts w:hint="eastAsia" w:asciiTheme="minorEastAsia" w:hAnsiTheme="minorEastAsia"/>
                <w:sz w:val="20"/>
                <w:lang w:val="en-US" w:eastAsia="zh-CN"/>
              </w:rPr>
              <w:t>OA系统需与我门诊部现有“电子签章系统”集成（具体费用需中标方提前和电子签章系统厂商沟通，我门诊部不再支付其对接费用），</w:t>
            </w:r>
            <w:r>
              <w:rPr>
                <w:rFonts w:hint="eastAsia" w:asciiTheme="minorEastAsia" w:hAnsiTheme="minorEastAsia"/>
                <w:b/>
                <w:bCs/>
                <w:sz w:val="20"/>
                <w:lang w:val="en-US" w:eastAsia="zh-CN"/>
              </w:rPr>
              <w:t>并提供具备对接能力证明材料</w:t>
            </w:r>
            <w:r>
              <w:rPr>
                <w:rFonts w:hint="eastAsia" w:asciiTheme="minorEastAsia" w:hAnsiTheme="minorEastAsia"/>
                <w:sz w:val="20"/>
                <w:lang w:val="en-US" w:eastAsia="zh-CN"/>
              </w:rPr>
              <w:t>，否则视为无效投标。</w:t>
            </w:r>
          </w:p>
        </w:tc>
        <w:tc>
          <w:tcPr>
            <w:tcW w:w="1107" w:type="pct"/>
            <w:vAlign w:val="center"/>
          </w:tcPr>
          <w:p w14:paraId="6D66D183">
            <w:pPr>
              <w:widowControl w:val="0"/>
              <w:tabs>
                <w:tab w:val="left" w:pos="5355"/>
              </w:tabs>
              <w:rPr>
                <w:rFonts w:ascii="仿宋_GB2312" w:hAnsi="宋体" w:eastAsia="仿宋_GB2312"/>
                <w:sz w:val="18"/>
              </w:rPr>
            </w:pPr>
          </w:p>
        </w:tc>
        <w:tc>
          <w:tcPr>
            <w:tcW w:w="1106" w:type="pct"/>
            <w:vAlign w:val="center"/>
          </w:tcPr>
          <w:p w14:paraId="4CAC6199">
            <w:pPr>
              <w:widowControl w:val="0"/>
              <w:tabs>
                <w:tab w:val="left" w:pos="5355"/>
              </w:tabs>
              <w:rPr>
                <w:rFonts w:ascii="仿宋_GB2312" w:hAnsi="宋体" w:eastAsia="仿宋_GB2312"/>
                <w:sz w:val="18"/>
              </w:rPr>
            </w:pPr>
          </w:p>
        </w:tc>
      </w:tr>
      <w:tr w14:paraId="1811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1A1E96B9">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13</w:t>
            </w:r>
          </w:p>
        </w:tc>
        <w:tc>
          <w:tcPr>
            <w:tcW w:w="2543" w:type="pct"/>
            <w:vAlign w:val="center"/>
          </w:tcPr>
          <w:p w14:paraId="74E22A27">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授权要求</w:t>
            </w:r>
          </w:p>
          <w:p w14:paraId="5685DA9D">
            <w:pPr>
              <w:widowControl w:val="0"/>
              <w:tabs>
                <w:tab w:val="left" w:pos="5355"/>
              </w:tabs>
              <w:jc w:val="left"/>
              <w:rPr>
                <w:rFonts w:hint="eastAsia" w:ascii="宋体" w:hAnsi="宋体" w:eastAsia="宋体" w:cs="宋体"/>
                <w:color w:val="auto"/>
                <w:kern w:val="2"/>
                <w:sz w:val="24"/>
                <w:szCs w:val="28"/>
                <w:lang w:val="en-US" w:eastAsia="zh-CN" w:bidi="ar-SA"/>
              </w:rPr>
            </w:pPr>
            <w:r>
              <w:rPr>
                <w:rFonts w:hint="eastAsia" w:asciiTheme="minorEastAsia" w:hAnsiTheme="minorEastAsia"/>
                <w:sz w:val="20"/>
                <w:lang w:val="en-US" w:eastAsia="zh-CN"/>
              </w:rPr>
              <w:t>产品需提供永久使用授权许可并免费同步版本升级。</w:t>
            </w:r>
          </w:p>
        </w:tc>
        <w:tc>
          <w:tcPr>
            <w:tcW w:w="1107" w:type="pct"/>
            <w:vAlign w:val="center"/>
          </w:tcPr>
          <w:p w14:paraId="4CAE7594">
            <w:pPr>
              <w:widowControl w:val="0"/>
              <w:tabs>
                <w:tab w:val="left" w:pos="5355"/>
              </w:tabs>
              <w:rPr>
                <w:rFonts w:ascii="仿宋_GB2312" w:hAnsi="宋体" w:eastAsia="仿宋_GB2312"/>
                <w:sz w:val="18"/>
              </w:rPr>
            </w:pPr>
          </w:p>
        </w:tc>
        <w:tc>
          <w:tcPr>
            <w:tcW w:w="1106" w:type="pct"/>
            <w:vAlign w:val="center"/>
          </w:tcPr>
          <w:p w14:paraId="06D2CEB3">
            <w:pPr>
              <w:widowControl w:val="0"/>
              <w:tabs>
                <w:tab w:val="left" w:pos="5355"/>
              </w:tabs>
              <w:rPr>
                <w:rFonts w:ascii="仿宋_GB2312" w:hAnsi="宋体" w:eastAsia="仿宋_GB2312"/>
                <w:sz w:val="18"/>
              </w:rPr>
            </w:pPr>
          </w:p>
        </w:tc>
      </w:tr>
      <w:tr w14:paraId="2AB6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2" w:type="pct"/>
            <w:vAlign w:val="center"/>
          </w:tcPr>
          <w:p w14:paraId="0B8B628C">
            <w:pPr>
              <w:widowControl w:val="0"/>
              <w:tabs>
                <w:tab w:val="left" w:pos="377"/>
                <w:tab w:val="left" w:pos="5355"/>
              </w:tabs>
              <w:jc w:val="center"/>
              <w:rPr>
                <w:rFonts w:hint="default" w:asciiTheme="minorEastAsia" w:hAnsiTheme="minorEastAsia"/>
                <w:sz w:val="20"/>
                <w:lang w:val="en-US" w:eastAsia="zh-CN"/>
              </w:rPr>
            </w:pPr>
            <w:r>
              <w:rPr>
                <w:rFonts w:hint="eastAsia" w:asciiTheme="minorEastAsia" w:hAnsiTheme="minorEastAsia"/>
                <w:sz w:val="20"/>
                <w:lang w:val="en-US" w:eastAsia="zh-CN"/>
              </w:rPr>
              <w:t>14</w:t>
            </w:r>
          </w:p>
        </w:tc>
        <w:tc>
          <w:tcPr>
            <w:tcW w:w="2543" w:type="pct"/>
            <w:vAlign w:val="center"/>
          </w:tcPr>
          <w:p w14:paraId="558D4AF3">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售后要求</w:t>
            </w:r>
          </w:p>
          <w:p w14:paraId="366F9233">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项目软件上线验收后需提供一年的免费技术维护。</w:t>
            </w:r>
          </w:p>
        </w:tc>
        <w:tc>
          <w:tcPr>
            <w:tcW w:w="1107" w:type="pct"/>
            <w:vAlign w:val="center"/>
          </w:tcPr>
          <w:p w14:paraId="261EDA8C">
            <w:pPr>
              <w:widowControl w:val="0"/>
              <w:tabs>
                <w:tab w:val="left" w:pos="5355"/>
              </w:tabs>
              <w:rPr>
                <w:rFonts w:ascii="仿宋_GB2312" w:hAnsi="宋体" w:eastAsia="仿宋_GB2312"/>
                <w:sz w:val="18"/>
              </w:rPr>
            </w:pPr>
          </w:p>
        </w:tc>
        <w:tc>
          <w:tcPr>
            <w:tcW w:w="1106" w:type="pct"/>
            <w:vAlign w:val="center"/>
          </w:tcPr>
          <w:p w14:paraId="72FF8833">
            <w:pPr>
              <w:widowControl w:val="0"/>
              <w:tabs>
                <w:tab w:val="left" w:pos="5355"/>
              </w:tabs>
              <w:rPr>
                <w:rFonts w:ascii="仿宋_GB2312" w:hAnsi="宋体" w:eastAsia="仿宋_GB2312"/>
                <w:sz w:val="18"/>
              </w:rPr>
            </w:pPr>
          </w:p>
        </w:tc>
      </w:tr>
      <w:tr w14:paraId="7D5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1C3BB6DA">
            <w:pPr>
              <w:widowControl w:val="0"/>
              <w:tabs>
                <w:tab w:val="left" w:pos="5355"/>
              </w:tabs>
              <w:jc w:val="center"/>
              <w:rPr>
                <w:rFonts w:hint="default" w:asciiTheme="minorEastAsia" w:hAnsiTheme="minorEastAsia"/>
                <w:sz w:val="20"/>
                <w:lang w:val="en-US" w:eastAsia="zh-CN"/>
              </w:rPr>
            </w:pPr>
            <w:r>
              <w:rPr>
                <w:rFonts w:hint="eastAsia" w:asciiTheme="minorEastAsia" w:hAnsiTheme="minorEastAsia"/>
                <w:sz w:val="20"/>
                <w:lang w:val="en-US" w:eastAsia="zh-CN"/>
              </w:rPr>
              <w:t>15</w:t>
            </w:r>
          </w:p>
        </w:tc>
        <w:tc>
          <w:tcPr>
            <w:tcW w:w="2543" w:type="pct"/>
            <w:vAlign w:val="center"/>
          </w:tcPr>
          <w:p w14:paraId="4816DF38">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云主机要求</w:t>
            </w:r>
          </w:p>
          <w:p w14:paraId="01DC543A">
            <w:pPr>
              <w:widowControl w:val="0"/>
              <w:tabs>
                <w:tab w:val="left" w:pos="5355"/>
              </w:tabs>
              <w:jc w:val="left"/>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CPU：8核（2.8GHz以上），内存：16G  ，硬盘：500G，带宽：10M，期限：1年。</w:t>
            </w:r>
          </w:p>
        </w:tc>
        <w:tc>
          <w:tcPr>
            <w:tcW w:w="1107" w:type="pct"/>
            <w:vAlign w:val="center"/>
          </w:tcPr>
          <w:p w14:paraId="5BE1CE86">
            <w:pPr>
              <w:widowControl w:val="0"/>
              <w:tabs>
                <w:tab w:val="left" w:pos="5355"/>
              </w:tabs>
              <w:rPr>
                <w:rFonts w:ascii="仿宋_GB2312" w:hAnsi="宋体" w:eastAsia="仿宋_GB2312"/>
                <w:sz w:val="18"/>
              </w:rPr>
            </w:pPr>
          </w:p>
        </w:tc>
        <w:tc>
          <w:tcPr>
            <w:tcW w:w="1106" w:type="pct"/>
            <w:vAlign w:val="center"/>
          </w:tcPr>
          <w:p w14:paraId="25366392">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46AF219">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16</w:t>
            </w:r>
          </w:p>
        </w:tc>
        <w:tc>
          <w:tcPr>
            <w:tcW w:w="2543" w:type="pct"/>
            <w:vAlign w:val="center"/>
          </w:tcPr>
          <w:p w14:paraId="5EFB6A15">
            <w:pPr>
              <w:widowControl w:val="0"/>
              <w:tabs>
                <w:tab w:val="left" w:pos="5355"/>
              </w:tabs>
              <w:jc w:val="left"/>
              <w:rPr>
                <w:rFonts w:asciiTheme="minorEastAsia" w:hAnsiTheme="minorEastAsia"/>
                <w:b/>
                <w:sz w:val="20"/>
              </w:rPr>
            </w:pPr>
            <w:r>
              <w:rPr>
                <w:rFonts w:hint="eastAsia" w:asciiTheme="minorEastAsia" w:hAnsiTheme="minorEastAsia"/>
                <w:b/>
                <w:sz w:val="20"/>
              </w:rPr>
              <w:t>安装和调试</w:t>
            </w:r>
          </w:p>
          <w:p w14:paraId="57133D96">
            <w:pPr>
              <w:widowControl w:val="0"/>
              <w:tabs>
                <w:tab w:val="left" w:pos="5355"/>
              </w:tabs>
              <w:jc w:val="left"/>
              <w:rPr>
                <w:rFonts w:hint="eastAsia" w:asciiTheme="minorEastAsia" w:hAnsiTheme="minorEastAsia" w:eastAsiaTheme="minorEastAsia"/>
                <w:sz w:val="20"/>
                <w:lang w:eastAsia="zh-CN"/>
              </w:rPr>
            </w:pPr>
            <w:r>
              <w:rPr>
                <w:rFonts w:hint="eastAsia" w:asciiTheme="minorEastAsia" w:hAnsiTheme="minorEastAsia"/>
                <w:sz w:val="20"/>
              </w:rPr>
              <w:t>1.在合同签订后一周内实施团队开始驻场办公，</w:t>
            </w:r>
            <w:r>
              <w:rPr>
                <w:rFonts w:hint="eastAsia" w:asciiTheme="minorEastAsia" w:hAnsiTheme="minorEastAsia"/>
                <w:sz w:val="20"/>
                <w:lang w:val="en-US" w:eastAsia="zh-CN"/>
              </w:rPr>
              <w:t>1</w:t>
            </w:r>
            <w:r>
              <w:rPr>
                <w:rFonts w:hint="eastAsia" w:asciiTheme="minorEastAsia" w:hAnsiTheme="minorEastAsia"/>
                <w:sz w:val="20"/>
              </w:rPr>
              <w:t>个月内完成综合信息管理平台（OA）</w:t>
            </w:r>
            <w:r>
              <w:rPr>
                <w:rFonts w:hint="eastAsia" w:asciiTheme="minorEastAsia" w:hAnsiTheme="minorEastAsia"/>
                <w:sz w:val="20"/>
                <w:lang w:val="en-US" w:eastAsia="zh-CN"/>
              </w:rPr>
              <w:t>系统功能实施、开发、上线试运行</w:t>
            </w:r>
            <w:r>
              <w:rPr>
                <w:rFonts w:hint="eastAsia" w:asciiTheme="minorEastAsia" w:hAnsiTheme="minorEastAsia"/>
                <w:sz w:val="20"/>
                <w:lang w:eastAsia="zh-CN"/>
              </w:rPr>
              <w:t>，</w:t>
            </w:r>
            <w:r>
              <w:rPr>
                <w:rFonts w:hint="eastAsia" w:asciiTheme="minorEastAsia" w:hAnsiTheme="minorEastAsia"/>
                <w:sz w:val="20"/>
                <w:lang w:val="en-US" w:eastAsia="zh-CN"/>
              </w:rPr>
              <w:t>2</w:t>
            </w:r>
            <w:r>
              <w:rPr>
                <w:rFonts w:hint="eastAsia" w:asciiTheme="minorEastAsia" w:hAnsiTheme="minorEastAsia"/>
                <w:sz w:val="20"/>
              </w:rPr>
              <w:t>个月内完成综合信息管理平台（OA）</w:t>
            </w:r>
            <w:r>
              <w:rPr>
                <w:rFonts w:hint="eastAsia" w:asciiTheme="minorEastAsia" w:hAnsiTheme="minorEastAsia"/>
                <w:sz w:val="20"/>
                <w:lang w:val="en-US" w:eastAsia="zh-CN"/>
              </w:rPr>
              <w:t>系统的验收</w:t>
            </w:r>
            <w:r>
              <w:rPr>
                <w:rFonts w:hint="eastAsia" w:asciiTheme="minorEastAsia" w:hAnsiTheme="minorEastAsia"/>
                <w:sz w:val="20"/>
                <w:lang w:eastAsia="zh-CN"/>
              </w:rPr>
              <w:t>；</w:t>
            </w:r>
          </w:p>
          <w:p w14:paraId="7D68B998">
            <w:pPr>
              <w:widowControl w:val="0"/>
              <w:tabs>
                <w:tab w:val="left" w:pos="5355"/>
              </w:tabs>
              <w:jc w:val="left"/>
              <w:rPr>
                <w:rFonts w:asciiTheme="minorEastAsia" w:hAnsiTheme="minorEastAsia"/>
                <w:sz w:val="20"/>
              </w:rPr>
            </w:pPr>
            <w:r>
              <w:rPr>
                <w:rFonts w:hint="eastAsia" w:asciiTheme="minorEastAsia" w:hAnsiTheme="minorEastAsia"/>
                <w:sz w:val="20"/>
              </w:rPr>
              <w:t>2.供应商应在合同规定的安装调试期内完成该项工作。如因供应商责任而造成延期，所有因延期而产生的费用由供应商承担；</w:t>
            </w:r>
          </w:p>
          <w:p w14:paraId="4BCAEF3B">
            <w:pPr>
              <w:widowControl w:val="0"/>
              <w:tabs>
                <w:tab w:val="left" w:pos="5355"/>
              </w:tabs>
              <w:jc w:val="left"/>
              <w:rPr>
                <w:rFonts w:asciiTheme="minorEastAsia" w:hAnsiTheme="minorEastAsia"/>
                <w:sz w:val="20"/>
              </w:rPr>
            </w:pPr>
            <w:r>
              <w:rPr>
                <w:rFonts w:hint="eastAsia" w:asciiTheme="minorEastAsia" w:hAnsiTheme="minorEastAsia"/>
                <w:sz w:val="20"/>
              </w:rPr>
              <w:t>3.结合安装调试，供应商专业技术人员应对采购方的技术人员进行使用操作、维修、保养等技术的现场培训，直至采购方的技术人员能熟练独立工作。供应商委派的专业技术人员所需费用均由供应商承担。</w:t>
            </w:r>
          </w:p>
        </w:tc>
        <w:tc>
          <w:tcPr>
            <w:tcW w:w="1107" w:type="pct"/>
            <w:vAlign w:val="center"/>
          </w:tcPr>
          <w:p w14:paraId="15FD906D">
            <w:pPr>
              <w:widowControl w:val="0"/>
              <w:tabs>
                <w:tab w:val="left" w:pos="5355"/>
              </w:tabs>
              <w:rPr>
                <w:rFonts w:ascii="仿宋_GB2312" w:hAnsi="宋体" w:eastAsia="仿宋_GB2312"/>
                <w:sz w:val="18"/>
              </w:rPr>
            </w:pPr>
          </w:p>
        </w:tc>
        <w:tc>
          <w:tcPr>
            <w:tcW w:w="1106"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17</w:t>
            </w:r>
          </w:p>
        </w:tc>
        <w:tc>
          <w:tcPr>
            <w:tcW w:w="2543" w:type="pct"/>
            <w:vAlign w:val="center"/>
          </w:tcPr>
          <w:p w14:paraId="635704A7">
            <w:pPr>
              <w:widowControl w:val="0"/>
              <w:tabs>
                <w:tab w:val="left" w:pos="5355"/>
              </w:tabs>
              <w:jc w:val="left"/>
              <w:rPr>
                <w:rFonts w:asciiTheme="minorEastAsia" w:hAnsiTheme="minorEastAsia"/>
                <w:b/>
                <w:sz w:val="20"/>
                <w:lang w:val="en-GB"/>
              </w:rPr>
            </w:pPr>
            <w:r>
              <w:rPr>
                <w:rFonts w:hint="eastAsia" w:asciiTheme="minorEastAsia" w:hAnsiTheme="minorEastAsia"/>
                <w:b/>
                <w:sz w:val="20"/>
                <w:lang w:val="en-GB"/>
              </w:rPr>
              <w:t xml:space="preserve">质量保证期及维修服务 </w:t>
            </w:r>
          </w:p>
          <w:p w14:paraId="5F4E1BF2">
            <w:pPr>
              <w:widowControl w:val="0"/>
              <w:numPr>
                <w:ilvl w:val="0"/>
                <w:numId w:val="0"/>
              </w:numPr>
              <w:tabs>
                <w:tab w:val="left" w:pos="5355"/>
              </w:tabs>
              <w:jc w:val="left"/>
              <w:rPr>
                <w:rFonts w:hint="eastAsia" w:ascii="宋体" w:hAnsi="宋体" w:eastAsia="宋体" w:cs="宋体"/>
                <w:color w:val="auto"/>
                <w:kern w:val="2"/>
                <w:sz w:val="24"/>
                <w:szCs w:val="28"/>
                <w:lang w:val="en-US" w:eastAsia="zh-CN" w:bidi="ar-SA"/>
              </w:rPr>
            </w:pPr>
            <w:r>
              <w:rPr>
                <w:rFonts w:hint="eastAsia" w:asciiTheme="minorEastAsia" w:hAnsiTheme="minorEastAsia"/>
                <w:sz w:val="20"/>
                <w:lang w:val="en-US" w:eastAsia="zh-CN"/>
              </w:rPr>
              <w:t>1.</w:t>
            </w:r>
            <w:r>
              <w:rPr>
                <w:rFonts w:hint="eastAsia" w:asciiTheme="minorEastAsia" w:hAnsiTheme="minorEastAsia"/>
                <w:sz w:val="20"/>
                <w:lang w:val="en-GB"/>
              </w:rPr>
              <w:t>报价人对此次询价采购的</w:t>
            </w:r>
            <w:r>
              <w:rPr>
                <w:rFonts w:hint="eastAsia" w:asciiTheme="minorEastAsia" w:hAnsiTheme="minorEastAsia"/>
                <w:sz w:val="20"/>
                <w:lang w:val="en-GB" w:eastAsia="zh-CN"/>
              </w:rPr>
              <w:t>系统</w:t>
            </w:r>
            <w:r>
              <w:rPr>
                <w:rFonts w:hint="eastAsia" w:asciiTheme="minorEastAsia" w:hAnsiTheme="minorEastAsia"/>
                <w:sz w:val="20"/>
                <w:lang w:val="en-GB"/>
              </w:rPr>
              <w:t>应按照询价文件的要求提供合格的产品，</w:t>
            </w:r>
            <w:r>
              <w:rPr>
                <w:rFonts w:hint="eastAsia" w:asciiTheme="minorEastAsia" w:hAnsiTheme="minorEastAsia"/>
                <w:sz w:val="20"/>
                <w:lang w:val="en-GB" w:eastAsia="zh-CN"/>
              </w:rPr>
              <w:t>系统</w:t>
            </w:r>
            <w:r>
              <w:rPr>
                <w:rFonts w:hint="eastAsia" w:asciiTheme="minorEastAsia" w:hAnsiTheme="minorEastAsia"/>
                <w:sz w:val="20"/>
                <w:lang w:val="en-GB"/>
              </w:rPr>
              <w:t>质保期从最终验收合格之日起算，</w:t>
            </w:r>
            <w:r>
              <w:rPr>
                <w:rFonts w:hint="eastAsia" w:asciiTheme="minorEastAsia" w:hAnsiTheme="minorEastAsia"/>
                <w:sz w:val="20"/>
                <w:lang w:val="en-US" w:eastAsia="zh-CN"/>
              </w:rPr>
              <w:t>系统上线验收后需提供一年的免费技术维护。</w:t>
            </w:r>
          </w:p>
          <w:p w14:paraId="45354467">
            <w:pPr>
              <w:widowControl w:val="0"/>
              <w:tabs>
                <w:tab w:val="left" w:pos="5355"/>
              </w:tabs>
              <w:rPr>
                <w:rFonts w:hint="eastAsia" w:asciiTheme="minorEastAsia" w:hAnsiTheme="minorEastAsia" w:eastAsiaTheme="minorEastAsia"/>
                <w:sz w:val="20"/>
                <w:lang w:val="en-GB" w:eastAsia="zh-CN"/>
              </w:rPr>
            </w:pPr>
            <w:r>
              <w:rPr>
                <w:rFonts w:hint="eastAsia" w:asciiTheme="minorEastAsia" w:hAnsiTheme="minorEastAsia"/>
                <w:sz w:val="20"/>
                <w:lang w:val="en-GB"/>
              </w:rPr>
              <w:t>2.本项目报价人应对此次询价采购的</w:t>
            </w:r>
            <w:r>
              <w:rPr>
                <w:rFonts w:hint="eastAsia" w:asciiTheme="minorEastAsia" w:hAnsiTheme="minorEastAsia"/>
                <w:sz w:val="20"/>
                <w:lang w:val="en-GB" w:eastAsia="zh-CN"/>
              </w:rPr>
              <w:t>系统</w:t>
            </w:r>
            <w:r>
              <w:rPr>
                <w:rFonts w:hint="eastAsia" w:asciiTheme="minorEastAsia" w:hAnsiTheme="minorEastAsia"/>
                <w:sz w:val="20"/>
                <w:lang w:val="en-GB"/>
              </w:rPr>
              <w:t>承诺自产品验收合格后运行中发生故障，</w:t>
            </w:r>
            <w:r>
              <w:rPr>
                <w:rFonts w:hint="eastAsia" w:asciiTheme="minorEastAsia" w:hAnsiTheme="minorEastAsia"/>
                <w:sz w:val="20"/>
                <w:lang w:val="en-US" w:eastAsia="zh-CN"/>
              </w:rPr>
              <w:t>保修期内，须按合同条款提供免费服务，并提供7*24小时的优质售后服务。对于电话或远程网络方式无法解决的问题或系统发生严重故障时，系统提供商现场到达响应时间为6小时，维修工程师应提供365*24的现场维修并排除故障。所</w:t>
            </w:r>
            <w:r>
              <w:rPr>
                <w:rFonts w:hint="eastAsia" w:asciiTheme="minorEastAsia" w:hAnsiTheme="minorEastAsia"/>
                <w:sz w:val="20"/>
                <w:lang w:val="en-GB" w:eastAsia="zh-CN"/>
              </w:rPr>
              <w:t>有</w:t>
            </w:r>
            <w:r>
              <w:rPr>
                <w:rFonts w:hint="eastAsia" w:asciiTheme="minorEastAsia" w:hAnsiTheme="minorEastAsia"/>
                <w:sz w:val="20"/>
                <w:lang w:val="en-GB"/>
              </w:rPr>
              <w:t>售后服务不得由中标人直接或间接外包给第三方</w:t>
            </w:r>
            <w:r>
              <w:rPr>
                <w:rFonts w:hint="eastAsia" w:asciiTheme="minorEastAsia" w:hAnsiTheme="minorEastAsia"/>
                <w:sz w:val="20"/>
                <w:lang w:val="en-GB" w:eastAsia="zh-CN"/>
              </w:rPr>
              <w:t>。</w:t>
            </w:r>
          </w:p>
          <w:p w14:paraId="5D80A88F">
            <w:pPr>
              <w:spacing w:line="360" w:lineRule="auto"/>
              <w:rPr>
                <w:rFonts w:asciiTheme="minorEastAsia" w:hAnsiTheme="minorEastAsia"/>
                <w:sz w:val="20"/>
                <w:lang w:val="en-GB"/>
              </w:rPr>
            </w:pPr>
            <w:r>
              <w:rPr>
                <w:rFonts w:hint="eastAsia" w:asciiTheme="minorEastAsia" w:hAnsiTheme="minorEastAsia"/>
                <w:sz w:val="20"/>
                <w:highlight w:val="none"/>
                <w:lang w:val="en-GB"/>
              </w:rPr>
              <w:t>3. 免费质量保修期结束后，报价人提供终身免费咨询及有偿维修服务</w:t>
            </w:r>
            <w:r>
              <w:rPr>
                <w:rFonts w:hint="eastAsia" w:asciiTheme="minorEastAsia" w:hAnsiTheme="minorEastAsia"/>
                <w:sz w:val="20"/>
                <w:highlight w:val="none"/>
                <w:lang w:val="en-GB" w:eastAsia="zh-CN"/>
              </w:rPr>
              <w:t>。</w:t>
            </w:r>
          </w:p>
        </w:tc>
        <w:tc>
          <w:tcPr>
            <w:tcW w:w="1107" w:type="pct"/>
            <w:vAlign w:val="center"/>
          </w:tcPr>
          <w:p w14:paraId="7EA52626">
            <w:pPr>
              <w:widowControl w:val="0"/>
              <w:tabs>
                <w:tab w:val="left" w:pos="5355"/>
              </w:tabs>
              <w:rPr>
                <w:rFonts w:ascii="仿宋_GB2312" w:hAnsi="宋体" w:eastAsia="仿宋_GB2312"/>
                <w:sz w:val="18"/>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18</w:t>
            </w:r>
          </w:p>
        </w:tc>
        <w:tc>
          <w:tcPr>
            <w:tcW w:w="2543" w:type="pct"/>
            <w:vAlign w:val="center"/>
          </w:tcPr>
          <w:p w14:paraId="30CCB934">
            <w:pPr>
              <w:widowControl w:val="0"/>
              <w:tabs>
                <w:tab w:val="left" w:pos="5355"/>
              </w:tabs>
              <w:rPr>
                <w:rFonts w:hint="eastAsia" w:asciiTheme="minorEastAsia" w:hAnsiTheme="minorEastAsia"/>
                <w:b/>
                <w:sz w:val="20"/>
                <w:lang w:val="en-GB"/>
              </w:rPr>
            </w:pPr>
            <w:r>
              <w:rPr>
                <w:rFonts w:hint="eastAsia" w:asciiTheme="minorEastAsia" w:hAnsiTheme="minorEastAsia"/>
                <w:b/>
                <w:sz w:val="20"/>
                <w:lang w:val="en-GB"/>
              </w:rPr>
              <w:t>验收标准和验收方法</w:t>
            </w:r>
          </w:p>
          <w:p w14:paraId="7E327D3D">
            <w:pPr>
              <w:widowControl w:val="0"/>
              <w:tabs>
                <w:tab w:val="left" w:pos="5355"/>
              </w:tabs>
              <w:rPr>
                <w:rFonts w:asciiTheme="minorEastAsia" w:hAnsiTheme="minorEastAsia"/>
                <w:sz w:val="20"/>
                <w:lang w:val="en-GB"/>
              </w:rPr>
            </w:pPr>
            <w:r>
              <w:rPr>
                <w:rFonts w:hint="eastAsia" w:asciiTheme="minorEastAsia" w:hAnsiTheme="minorEastAsia"/>
                <w:sz w:val="20"/>
                <w:lang w:val="en-GB"/>
              </w:rPr>
              <w:t>1.验收标准：设备按国家行业标准及询价文件“采购内容及要求”进行验收。</w:t>
            </w:r>
            <w:r>
              <w:rPr>
                <w:rFonts w:hint="eastAsia" w:asciiTheme="minorEastAsia" w:hAnsiTheme="minorEastAsia"/>
                <w:sz w:val="20"/>
                <w:lang w:val="en-GB" w:eastAsia="zh-CN"/>
              </w:rPr>
              <w:t>系统</w:t>
            </w:r>
            <w:r>
              <w:rPr>
                <w:rFonts w:hint="eastAsia" w:asciiTheme="minorEastAsia" w:hAnsiTheme="minorEastAsia"/>
                <w:sz w:val="20"/>
                <w:lang w:val="en-GB"/>
              </w:rPr>
              <w:t>质量达到设计要求安装调试各项指标符合技术参数；所产生费用由供应商负责。</w:t>
            </w:r>
          </w:p>
          <w:p w14:paraId="110971AD">
            <w:pPr>
              <w:widowControl w:val="0"/>
              <w:tabs>
                <w:tab w:val="left" w:pos="5355"/>
              </w:tabs>
              <w:rPr>
                <w:rFonts w:asciiTheme="minorEastAsia" w:hAnsiTheme="minorEastAsia"/>
                <w:sz w:val="20"/>
                <w:lang w:val="en-GB"/>
              </w:rPr>
            </w:pPr>
            <w:r>
              <w:rPr>
                <w:rFonts w:hint="eastAsia" w:asciiTheme="minorEastAsia" w:hAnsiTheme="minorEastAsia"/>
                <w:sz w:val="20"/>
                <w:lang w:val="en-GB"/>
              </w:rPr>
              <w:t>2.验收程序：货物验收分为安装调试检验及最终验收两个阶段。</w:t>
            </w:r>
          </w:p>
          <w:p w14:paraId="1E7CB387">
            <w:pPr>
              <w:widowControl w:val="0"/>
              <w:tabs>
                <w:tab w:val="left" w:pos="5355"/>
              </w:tabs>
              <w:rPr>
                <w:rFonts w:asciiTheme="minorEastAsia" w:hAnsiTheme="minorEastAsia"/>
                <w:sz w:val="20"/>
                <w:lang w:val="en-GB"/>
              </w:rPr>
            </w:pPr>
            <w:r>
              <w:rPr>
                <w:rFonts w:hint="eastAsia" w:asciiTheme="minorEastAsia" w:hAnsiTheme="minorEastAsia"/>
                <w:sz w:val="20"/>
                <w:lang w:val="en-GB"/>
              </w:rPr>
              <w:t>a.系统安装调试检验：系统安装、调试过程，供应商应作详细检验记录。安装调试检验结果应符合制造厂产品标准和询价文件的规定。检验记录应真实并提供给采购方。</w:t>
            </w:r>
          </w:p>
          <w:p w14:paraId="0643E7A1">
            <w:pPr>
              <w:widowControl w:val="0"/>
              <w:tabs>
                <w:tab w:val="left" w:pos="5355"/>
              </w:tabs>
              <w:rPr>
                <w:rFonts w:hint="eastAsia" w:asciiTheme="minorEastAsia" w:hAnsiTheme="minorEastAsia"/>
                <w:sz w:val="20"/>
                <w:highlight w:val="none"/>
                <w:lang w:val="en-GB"/>
              </w:rPr>
            </w:pPr>
            <w:r>
              <w:rPr>
                <w:rFonts w:hint="eastAsia" w:asciiTheme="minorEastAsia" w:hAnsiTheme="minorEastAsia"/>
                <w:sz w:val="20"/>
                <w:lang w:val="en-GB"/>
              </w:rPr>
              <w:t>b.最终验收：⑴ 系统</w:t>
            </w:r>
            <w:r>
              <w:rPr>
                <w:rFonts w:hint="eastAsia" w:asciiTheme="minorEastAsia" w:hAnsiTheme="minorEastAsia"/>
                <w:sz w:val="20"/>
                <w:highlight w:val="none"/>
                <w:lang w:val="en-GB"/>
              </w:rPr>
              <w:t>安装、调试结束后，要求进行联合验收（最终验收具体程序和要求以合同为准）。中标人应在验收时提供不限于如下内容的材料:信息安全保密协议、《软件需求规格说明书》、《系统功能清单》、《系统安装及配置说明书》《用户手册》等。</w:t>
            </w:r>
          </w:p>
          <w:p w14:paraId="543CFF47">
            <w:pPr>
              <w:widowControl w:val="0"/>
              <w:tabs>
                <w:tab w:val="left" w:pos="5355"/>
              </w:tabs>
              <w:rPr>
                <w:rFonts w:asciiTheme="minorEastAsia" w:hAnsiTheme="minorEastAsia"/>
                <w:sz w:val="20"/>
                <w:lang w:val="en-GB"/>
              </w:rPr>
            </w:pPr>
            <w:r>
              <w:rPr>
                <w:rFonts w:hint="eastAsia" w:asciiTheme="minorEastAsia" w:hAnsiTheme="minorEastAsia"/>
                <w:sz w:val="20"/>
                <w:lang w:val="en-GB"/>
              </w:rPr>
              <w:t>⑵ 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19</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20</w:t>
            </w:r>
          </w:p>
        </w:tc>
        <w:tc>
          <w:tcPr>
            <w:tcW w:w="2543" w:type="pct"/>
            <w:tcBorders>
              <w:bottom w:val="single" w:color="auto" w:sz="4" w:space="0"/>
            </w:tcBorders>
            <w:vAlign w:val="center"/>
          </w:tcPr>
          <w:p w14:paraId="2363DABD">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01257999">
            <w:pPr>
              <w:widowControl w:val="0"/>
              <w:tabs>
                <w:tab w:val="left" w:pos="5355"/>
              </w:tabs>
              <w:rPr>
                <w:rFonts w:asciiTheme="minorEastAsia" w:hAnsiTheme="minorEastAsia"/>
                <w:sz w:val="20"/>
              </w:rPr>
            </w:pPr>
            <w:r>
              <w:rPr>
                <w:rFonts w:hint="eastAsia" w:asciiTheme="minorEastAsia" w:hAnsiTheme="minorEastAsia"/>
                <w:sz w:val="20"/>
              </w:rPr>
              <w:t>1.银行转账；</w:t>
            </w:r>
          </w:p>
          <w:p w14:paraId="67751EBE">
            <w:pPr>
              <w:widowControl w:val="0"/>
              <w:tabs>
                <w:tab w:val="left" w:pos="5355"/>
              </w:tabs>
              <w:rPr>
                <w:rFonts w:hint="eastAsia" w:asciiTheme="minorEastAsia" w:hAnsiTheme="minorEastAsia"/>
                <w:sz w:val="20"/>
                <w:lang w:val="en-GB"/>
              </w:rPr>
            </w:pPr>
            <w:r>
              <w:rPr>
                <w:rFonts w:hint="eastAsia" w:asciiTheme="minorEastAsia" w:hAnsiTheme="minorEastAsia"/>
                <w:sz w:val="20"/>
                <w:lang w:val="en-GB"/>
              </w:rPr>
              <w:t>2.</w:t>
            </w:r>
            <w:r>
              <w:rPr>
                <w:rFonts w:hint="eastAsia" w:asciiTheme="minorEastAsia" w:hAnsiTheme="minorEastAsia"/>
                <w:sz w:val="20"/>
                <w:lang w:val="en-US" w:eastAsia="zh-CN"/>
              </w:rPr>
              <w:t>合同生效后预付合同价款30%，最终验收合格后一个月内支付剩余70%的合同款</w:t>
            </w:r>
            <w:r>
              <w:rPr>
                <w:rFonts w:hint="eastAsia" w:asciiTheme="minorEastAsia" w:hAnsiTheme="minorEastAsia"/>
                <w:sz w:val="20"/>
                <w:lang w:val="en-GB"/>
              </w:rPr>
              <w:t>。</w:t>
            </w:r>
          </w:p>
          <w:p w14:paraId="3D817448">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19254BB9">
      <w:pPr>
        <w:widowControl w:val="0"/>
        <w:spacing w:line="400" w:lineRule="exact"/>
        <w:jc w:val="left"/>
        <w:rPr>
          <w:rFonts w:ascii="宋体" w:hAnsi="宋体"/>
          <w:sz w:val="24"/>
        </w:rPr>
      </w:pPr>
    </w:p>
    <w:p w14:paraId="10CA8226">
      <w:pPr>
        <w:widowControl w:val="0"/>
        <w:spacing w:line="400" w:lineRule="exact"/>
        <w:jc w:val="left"/>
        <w:rPr>
          <w:rFonts w:ascii="宋体" w:hAnsi="宋体"/>
          <w:sz w:val="24"/>
        </w:rPr>
      </w:pPr>
    </w:p>
    <w:p w14:paraId="45C82BC9">
      <w:pPr>
        <w:widowControl w:val="0"/>
        <w:spacing w:line="400" w:lineRule="exact"/>
        <w:jc w:val="left"/>
        <w:rPr>
          <w:rFonts w:ascii="宋体" w:hAnsi="宋体"/>
          <w:sz w:val="24"/>
        </w:rPr>
      </w:pPr>
    </w:p>
    <w:p w14:paraId="68DFB6DE">
      <w:pPr>
        <w:widowControl w:val="0"/>
        <w:spacing w:line="400" w:lineRule="exact"/>
        <w:jc w:val="left"/>
        <w:rPr>
          <w:rFonts w:ascii="宋体" w:hAnsi="宋体"/>
          <w:sz w:val="24"/>
        </w:rPr>
      </w:pPr>
    </w:p>
    <w:p w14:paraId="18F176A8">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6C40E1CD">
      <w:pPr>
        <w:pStyle w:val="86"/>
        <w:ind w:firstLine="480"/>
        <w:rPr>
          <w:rFonts w:cs="宋体"/>
          <w:color w:val="auto"/>
        </w:rPr>
      </w:pPr>
      <w:r>
        <w:rPr>
          <w:rFonts w:hint="eastAsia" w:cs="宋体"/>
          <w:color w:val="auto"/>
        </w:rPr>
        <w:t>此次建设的</w:t>
      </w:r>
      <w:r>
        <w:rPr>
          <w:rFonts w:hint="eastAsia" w:cs="宋体"/>
          <w:color w:val="auto"/>
          <w:lang w:eastAsia="zh-CN"/>
        </w:rPr>
        <w:t>福建中医药大学国医堂门诊部</w:t>
      </w:r>
      <w:r>
        <w:rPr>
          <w:rFonts w:hint="eastAsia" w:ascii="宋体" w:hAnsi="宋体" w:cs="宋体"/>
          <w:color w:val="auto"/>
        </w:rPr>
        <w:t>综合信息管理平台（OA）</w:t>
      </w:r>
      <w:r>
        <w:rPr>
          <w:rFonts w:hint="eastAsia" w:cs="宋体"/>
          <w:color w:val="auto"/>
        </w:rPr>
        <w:t>，建立统一的协同办公平台，规范办公业务流程，实现高效的业务协同，保障政令畅通，有效地推进工作监督和落实，上下联动、整体协同，从而提升整体管理能力。具体要求如下：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6"/>
        <w:gridCol w:w="993"/>
        <w:gridCol w:w="7385"/>
      </w:tblGrid>
      <w:tr w14:paraId="7F84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7" w:hRule="atLeast"/>
        </w:trPr>
        <w:tc>
          <w:tcPr>
            <w:tcW w:w="0" w:type="auto"/>
            <w:shd w:val="clear" w:color="auto" w:fill="auto"/>
            <w:noWrap/>
            <w:vAlign w:val="center"/>
          </w:tcPr>
          <w:p w14:paraId="26DF49D2">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w:t>
            </w:r>
          </w:p>
        </w:tc>
        <w:tc>
          <w:tcPr>
            <w:tcW w:w="0" w:type="auto"/>
            <w:shd w:val="clear" w:color="auto" w:fill="auto"/>
            <w:vAlign w:val="center"/>
          </w:tcPr>
          <w:p w14:paraId="4B056035">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日常管理</w:t>
            </w:r>
          </w:p>
        </w:tc>
        <w:tc>
          <w:tcPr>
            <w:tcW w:w="0" w:type="auto"/>
            <w:shd w:val="clear" w:color="auto" w:fill="auto"/>
            <w:vAlign w:val="center"/>
          </w:tcPr>
          <w:p w14:paraId="7EA6DA45">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主要包括个人自助查询，个人通讯录，我的待办，站内邮件，日程安排，密码修改，代理人设置模块；实现系统个人日常相关信息查看，办理，以及系统设置的管理。</w:t>
            </w:r>
          </w:p>
        </w:tc>
      </w:tr>
      <w:tr w14:paraId="785A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0" w:type="auto"/>
            <w:shd w:val="clear" w:color="auto" w:fill="auto"/>
            <w:noWrap/>
            <w:vAlign w:val="center"/>
          </w:tcPr>
          <w:p w14:paraId="380E4BE5">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w:t>
            </w:r>
          </w:p>
        </w:tc>
        <w:tc>
          <w:tcPr>
            <w:tcW w:w="0" w:type="auto"/>
            <w:shd w:val="clear" w:color="auto" w:fill="auto"/>
            <w:vAlign w:val="center"/>
          </w:tcPr>
          <w:p w14:paraId="4051200E">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资讯管理</w:t>
            </w:r>
          </w:p>
        </w:tc>
        <w:tc>
          <w:tcPr>
            <w:tcW w:w="0" w:type="auto"/>
            <w:shd w:val="clear" w:color="auto" w:fill="auto"/>
            <w:vAlign w:val="center"/>
          </w:tcPr>
          <w:p w14:paraId="1EA91861">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主要包括通知公告，院内 新闻，院报管理，廉洁文化，院务公开，党务公开，医师出诊表，服务谰价，全院科室资料库模块；实现医院各类资讯的发布，编辑，浏览，查阅管理。</w:t>
            </w:r>
          </w:p>
        </w:tc>
      </w:tr>
      <w:tr w14:paraId="0F6A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0" w:type="auto"/>
            <w:shd w:val="clear" w:color="auto" w:fill="auto"/>
            <w:noWrap/>
            <w:vAlign w:val="center"/>
          </w:tcPr>
          <w:p w14:paraId="5B3D4210">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3</w:t>
            </w:r>
          </w:p>
        </w:tc>
        <w:tc>
          <w:tcPr>
            <w:tcW w:w="0" w:type="auto"/>
            <w:shd w:val="clear" w:color="auto" w:fill="auto"/>
            <w:vAlign w:val="center"/>
          </w:tcPr>
          <w:p w14:paraId="22B84425">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行政审批</w:t>
            </w:r>
          </w:p>
        </w:tc>
        <w:tc>
          <w:tcPr>
            <w:tcW w:w="0" w:type="auto"/>
            <w:shd w:val="clear" w:color="auto" w:fill="auto"/>
            <w:vAlign w:val="center"/>
          </w:tcPr>
          <w:p w14:paraId="1A6A4F2A">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建立全院审批中心，实现无纸化审批管理，主要包括：</w:t>
            </w:r>
          </w:p>
          <w:p w14:paraId="39C24B69">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1）行政类：会议室管理、车辆管理、员工服务管理，合同会签；</w:t>
            </w:r>
          </w:p>
          <w:p w14:paraId="2D25FD49">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2）后勤类：后勤类材料申请、后勤货物与服务采购项目申购表；</w:t>
            </w:r>
          </w:p>
          <w:p w14:paraId="3CE6374E">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3）信息类：信息设备采购申请、维修申请、拉网线申请、信息系统报表申请、系统权限申请，信息数据采集申请；</w:t>
            </w:r>
          </w:p>
          <w:p w14:paraId="5F22C8E4">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4）设备类：1万以下设备申购，10万以下设备申购，10万元以上设备申购，30万以上申购；</w:t>
            </w:r>
          </w:p>
          <w:p w14:paraId="155AABA0">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5）投诉类：患者投诉登记处理，投诉转办处理，投诉整改处理；</w:t>
            </w:r>
          </w:p>
          <w:p w14:paraId="401193FA">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6）宣传类：宣传标识制作申请，电子显示屏发布申请，对外发布信息审核申请，院报发布申请，宣传稿件申请；</w:t>
            </w:r>
          </w:p>
          <w:p w14:paraId="3D500AC7">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7）固定资产类： 固定资产处置申请、工程建设项目采购申请；</w:t>
            </w:r>
          </w:p>
          <w:p w14:paraId="2337D0F2">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8）其他类： 其他类型的申请流程；</w:t>
            </w:r>
          </w:p>
          <w:p w14:paraId="7F270025">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9）系统使用人员可以自行创建流程流转过程，除流程起始节点再无提前预置的流程节点步骤；</w:t>
            </w:r>
          </w:p>
          <w:p w14:paraId="36DED0B0">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10）流程审批权限能够按日常工作场景术语命名（比如审批可以改成“领导审批”“处室负责人审批”，加签可以改成“会签”等），引发的流程节点人员变更可以设定选人范围（指定选人范围）；</w:t>
            </w:r>
          </w:p>
          <w:p w14:paraId="3BCA91E9">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11）同一流程中的参与人员能够在流程中相互回复意见。</w:t>
            </w:r>
          </w:p>
        </w:tc>
      </w:tr>
      <w:tr w14:paraId="17BF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0" w:type="auto"/>
            <w:shd w:val="clear" w:color="auto" w:fill="auto"/>
            <w:noWrap/>
            <w:vAlign w:val="center"/>
          </w:tcPr>
          <w:p w14:paraId="6EDA5EB5">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4</w:t>
            </w:r>
          </w:p>
        </w:tc>
        <w:tc>
          <w:tcPr>
            <w:tcW w:w="0" w:type="auto"/>
            <w:shd w:val="clear" w:color="auto" w:fill="auto"/>
            <w:vAlign w:val="center"/>
          </w:tcPr>
          <w:p w14:paraId="7767A8F9">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公文审批流程</w:t>
            </w:r>
          </w:p>
        </w:tc>
        <w:tc>
          <w:tcPr>
            <w:tcW w:w="0" w:type="auto"/>
            <w:shd w:val="clear" w:color="auto" w:fill="auto"/>
            <w:vAlign w:val="center"/>
          </w:tcPr>
          <w:p w14:paraId="4B68579D">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1）公文审批流程：包括发文流程、收文流程、会签审批、附件上传、公文催办。实现外单位来文的，签收登记，领导批示，科室传阅，公文办理反馈的全过程信息化管理；</w:t>
            </w:r>
          </w:p>
          <w:p w14:paraId="795A2942">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2）能在待批文件列表中完成快速办理。</w:t>
            </w:r>
          </w:p>
        </w:tc>
      </w:tr>
      <w:tr w14:paraId="63F8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0" w:type="auto"/>
            <w:shd w:val="clear" w:color="auto" w:fill="auto"/>
            <w:noWrap/>
            <w:vAlign w:val="center"/>
          </w:tcPr>
          <w:p w14:paraId="7C776DA7">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5</w:t>
            </w:r>
          </w:p>
        </w:tc>
        <w:tc>
          <w:tcPr>
            <w:tcW w:w="0" w:type="auto"/>
            <w:shd w:val="clear" w:color="auto" w:fill="auto"/>
            <w:vAlign w:val="center"/>
          </w:tcPr>
          <w:p w14:paraId="6C9268D9">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工资奖金</w:t>
            </w:r>
          </w:p>
        </w:tc>
        <w:tc>
          <w:tcPr>
            <w:tcW w:w="0" w:type="auto"/>
            <w:shd w:val="clear" w:color="auto" w:fill="auto"/>
            <w:vAlign w:val="center"/>
          </w:tcPr>
          <w:p w14:paraId="062BC12B">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财务科用Excel导入工资结果的方式对全院职工日常各类奖金，补贴的二次发放全过程信息化管理。</w:t>
            </w:r>
          </w:p>
        </w:tc>
      </w:tr>
      <w:tr w14:paraId="6388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14:paraId="08D16069">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6</w:t>
            </w:r>
          </w:p>
        </w:tc>
        <w:tc>
          <w:tcPr>
            <w:tcW w:w="0" w:type="auto"/>
            <w:shd w:val="clear" w:color="auto" w:fill="auto"/>
            <w:vAlign w:val="center"/>
          </w:tcPr>
          <w:p w14:paraId="680CBEF7">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人事管理</w:t>
            </w:r>
          </w:p>
        </w:tc>
        <w:tc>
          <w:tcPr>
            <w:tcW w:w="0" w:type="auto"/>
            <w:shd w:val="clear" w:color="auto" w:fill="auto"/>
            <w:vAlign w:val="center"/>
          </w:tcPr>
          <w:p w14:paraId="6FB05CE9">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1）外出管理：主要包括请假、销假、外出、调休申请；</w:t>
            </w:r>
          </w:p>
          <w:p w14:paraId="6222F835">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2）考勤管理：建立考勤网络化上报管理，实现对医院月度考勤进行汇总与分析，主要包括月考勤上报，考勤审核，考勤汇总；</w:t>
            </w:r>
          </w:p>
          <w:p w14:paraId="2E07E27A">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3）排班管理：建立全院医疗，护理，行政一体的网络化的排班上报系统，方便掌握全院人员的动向。主要包括周排报上报，排班日志，排班统计汇总；</w:t>
            </w:r>
          </w:p>
          <w:p w14:paraId="088B68EC">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4）行政总值班：包括班次配置，值班人员设置，按月生成总值班；</w:t>
            </w:r>
          </w:p>
          <w:p w14:paraId="456338F9">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5）人事档案：实现对全院人员信息的统一管理，为人员考勤，奖金分配，排班提供基础数据信息；</w:t>
            </w:r>
          </w:p>
          <w:p w14:paraId="442AD473">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6）医德考评流程：实现对全院人员的医德医风进行流程考评。</w:t>
            </w:r>
          </w:p>
        </w:tc>
      </w:tr>
      <w:tr w14:paraId="5240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0" w:type="auto"/>
            <w:shd w:val="clear" w:color="auto" w:fill="auto"/>
            <w:noWrap/>
            <w:vAlign w:val="center"/>
          </w:tcPr>
          <w:p w14:paraId="62CFE7FA">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7</w:t>
            </w:r>
          </w:p>
        </w:tc>
        <w:tc>
          <w:tcPr>
            <w:tcW w:w="0" w:type="auto"/>
            <w:shd w:val="clear" w:color="auto" w:fill="auto"/>
            <w:vAlign w:val="center"/>
          </w:tcPr>
          <w:p w14:paraId="34F8EF64">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移动办公</w:t>
            </w:r>
          </w:p>
        </w:tc>
        <w:tc>
          <w:tcPr>
            <w:tcW w:w="0" w:type="auto"/>
            <w:shd w:val="clear" w:color="auto" w:fill="auto"/>
            <w:vAlign w:val="center"/>
          </w:tcPr>
          <w:p w14:paraId="2153DF47">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实现移动端的通知公告、新闻中心、科室资料库、工资查询、请假申请、门诊停诊申请、行政值班、门诊排班、电子邮件、审批中心。</w:t>
            </w:r>
          </w:p>
        </w:tc>
      </w:tr>
      <w:tr w14:paraId="4AF5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0" w:type="auto"/>
            <w:shd w:val="clear" w:color="auto" w:fill="auto"/>
            <w:noWrap/>
            <w:vAlign w:val="center"/>
          </w:tcPr>
          <w:p w14:paraId="14E53BA5">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8</w:t>
            </w:r>
          </w:p>
        </w:tc>
        <w:tc>
          <w:tcPr>
            <w:tcW w:w="0" w:type="auto"/>
            <w:shd w:val="clear" w:color="auto" w:fill="auto"/>
            <w:vAlign w:val="center"/>
          </w:tcPr>
          <w:p w14:paraId="77FBF14B">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组织管理</w:t>
            </w:r>
          </w:p>
        </w:tc>
        <w:tc>
          <w:tcPr>
            <w:tcW w:w="0" w:type="auto"/>
            <w:shd w:val="clear" w:color="auto" w:fill="auto"/>
            <w:vAlign w:val="center"/>
          </w:tcPr>
          <w:p w14:paraId="0C67558F">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1）组织架构、人员信息、角色、权限等全量导出/导入；</w:t>
            </w:r>
          </w:p>
          <w:p w14:paraId="5B2A34F4">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2）支持一人多岗，系统能根据事项申请人的组织信息和当前节点的组织信息来生成当前节点默认的审批岗位和部门名称；</w:t>
            </w:r>
          </w:p>
          <w:p w14:paraId="1216A8D5">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3）同一人员可以在组织内、部门内、岗位序列内有不同的排序。</w:t>
            </w:r>
          </w:p>
        </w:tc>
      </w:tr>
      <w:tr w14:paraId="3963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0" w:type="auto"/>
            <w:shd w:val="clear" w:color="auto" w:fill="auto"/>
            <w:noWrap/>
            <w:vAlign w:val="center"/>
          </w:tcPr>
          <w:p w14:paraId="562246ED">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9</w:t>
            </w:r>
          </w:p>
        </w:tc>
        <w:tc>
          <w:tcPr>
            <w:tcW w:w="0" w:type="auto"/>
            <w:shd w:val="clear" w:color="auto" w:fill="auto"/>
            <w:vAlign w:val="center"/>
          </w:tcPr>
          <w:p w14:paraId="47EFDE7E">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信息门户</w:t>
            </w:r>
          </w:p>
        </w:tc>
        <w:tc>
          <w:tcPr>
            <w:tcW w:w="0" w:type="auto"/>
            <w:shd w:val="clear" w:color="auto" w:fill="auto"/>
            <w:vAlign w:val="center"/>
          </w:tcPr>
          <w:p w14:paraId="453C948E">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1）重要信息在电脑端和移动端都可以通过悬浮页面显示，且显示风格可以自动，比如视觉效果，自动匹配组织数据。（如员工生日提醒、重要公关等）；</w:t>
            </w:r>
          </w:p>
          <w:p w14:paraId="320069AC">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2）登录背景图片可以设置按指定日期自动更换。（比如国庆节登录背景、元旦节登录背景）；</w:t>
            </w:r>
          </w:p>
        </w:tc>
      </w:tr>
      <w:tr w14:paraId="6C26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shd w:val="clear" w:color="auto" w:fill="auto"/>
            <w:noWrap/>
            <w:vAlign w:val="center"/>
          </w:tcPr>
          <w:p w14:paraId="2CC8154C">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10</w:t>
            </w:r>
          </w:p>
        </w:tc>
        <w:tc>
          <w:tcPr>
            <w:tcW w:w="0" w:type="auto"/>
            <w:shd w:val="clear" w:color="auto" w:fill="auto"/>
            <w:vAlign w:val="center"/>
          </w:tcPr>
          <w:p w14:paraId="59E06CA1">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移动网上办事大厅</w:t>
            </w:r>
          </w:p>
          <w:p w14:paraId="7FE2D7D8">
            <w:pPr>
              <w:spacing w:line="480" w:lineRule="auto"/>
              <w:rPr>
                <w:rFonts w:hint="eastAsia" w:ascii="宋体" w:hAnsi="宋体" w:eastAsia="宋体" w:cs="宋体"/>
                <w:color w:val="auto"/>
                <w:kern w:val="2"/>
                <w:sz w:val="24"/>
                <w:szCs w:val="28"/>
                <w:lang w:val="en-US" w:eastAsia="zh-CN" w:bidi="ar-SA"/>
              </w:rPr>
            </w:pPr>
          </w:p>
        </w:tc>
        <w:tc>
          <w:tcPr>
            <w:tcW w:w="0" w:type="auto"/>
            <w:shd w:val="clear" w:color="auto" w:fill="auto"/>
            <w:vAlign w:val="center"/>
          </w:tcPr>
          <w:p w14:paraId="09D8E97D">
            <w:pPr>
              <w:numPr>
                <w:ilvl w:val="0"/>
                <w:numId w:val="2"/>
              </w:num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审批大厅配置管理，支持对行政审批类业务进行分级分类的配置，支持移动端，PC端同步配置；</w:t>
            </w:r>
          </w:p>
          <w:p w14:paraId="39E39350">
            <w:pPr>
              <w:numPr>
                <w:ilvl w:val="0"/>
                <w:numId w:val="0"/>
              </w:num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2、网上办事大厅：建立统一的审批大厅入口。可以按分组进行选择相应的审批业务，发起申请、跟踪办理情况；</w:t>
            </w:r>
          </w:p>
          <w:p w14:paraId="43E6B48F">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3、移动审批中心门户：根据审批大厅的配置要求，按发组展示各类的行政审批业务，支持各行政审批业务在线发起申请，支持复制历史申请单发起申请。支持中断后重新进入发起；</w:t>
            </w:r>
          </w:p>
          <w:p w14:paraId="3EF9756C">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4、移动待审管理：支持移动待办审批中可以回退，审核，作废，传阅，下载办理单操作；</w:t>
            </w:r>
            <w:r>
              <w:rPr>
                <w:rFonts w:hint="eastAsia" w:ascii="宋体" w:hAnsi="宋体" w:eastAsia="宋体" w:cs="宋体"/>
                <w:color w:val="auto"/>
                <w:kern w:val="2"/>
                <w:sz w:val="24"/>
                <w:szCs w:val="28"/>
                <w:lang w:val="en-US" w:eastAsia="zh-CN" w:bidi="ar-SA"/>
              </w:rPr>
              <w:br w:type="textWrapping"/>
            </w:r>
            <w:r>
              <w:rPr>
                <w:rFonts w:hint="eastAsia" w:ascii="宋体" w:hAnsi="宋体" w:eastAsia="宋体" w:cs="宋体"/>
                <w:color w:val="auto"/>
                <w:kern w:val="2"/>
                <w:sz w:val="24"/>
                <w:szCs w:val="28"/>
                <w:lang w:val="en-US" w:eastAsia="zh-CN" w:bidi="ar-SA"/>
              </w:rPr>
              <w:t>5、移动在审管理：支持移动待审信息中可以进行辙办，传阅，下载办理单操作；</w:t>
            </w:r>
            <w:r>
              <w:rPr>
                <w:rFonts w:hint="eastAsia" w:ascii="宋体" w:hAnsi="宋体" w:eastAsia="宋体" w:cs="宋体"/>
                <w:color w:val="auto"/>
                <w:kern w:val="2"/>
                <w:sz w:val="24"/>
                <w:szCs w:val="28"/>
                <w:lang w:val="en-US" w:eastAsia="zh-CN" w:bidi="ar-SA"/>
              </w:rPr>
              <w:br w:type="textWrapping"/>
            </w:r>
            <w:r>
              <w:rPr>
                <w:rFonts w:hint="eastAsia" w:ascii="宋体" w:hAnsi="宋体" w:eastAsia="宋体" w:cs="宋体"/>
                <w:color w:val="auto"/>
                <w:kern w:val="2"/>
                <w:sz w:val="24"/>
                <w:szCs w:val="28"/>
                <w:lang w:val="en-US" w:eastAsia="zh-CN" w:bidi="ar-SA"/>
              </w:rPr>
              <w:t>6、移动办结管理：支持移动办结信息中可以删除，重新发起操作，批量导出；</w:t>
            </w:r>
          </w:p>
          <w:p w14:paraId="4C5FBEA3">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7、移动我的发起：支持查看我发起的审批信息，支持查看作废的，进行中的，已删除的申请信息；</w:t>
            </w:r>
          </w:p>
          <w:p w14:paraId="21430D57">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8、支持流转过程自动催办、自动流转功能；</w:t>
            </w:r>
          </w:p>
          <w:p w14:paraId="252B0F6E">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9、待审批事项可以发送到聊天窗口完成快速审批；</w:t>
            </w:r>
          </w:p>
          <w:p w14:paraId="357B9DF7">
            <w:pPr>
              <w:spacing w:line="24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10、支持移动端。（APP、企业微信、钉钉、公众号）</w:t>
            </w:r>
          </w:p>
        </w:tc>
      </w:tr>
      <w:tr w14:paraId="6622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0" w:type="auto"/>
            <w:shd w:val="clear" w:color="auto" w:fill="auto"/>
            <w:noWrap/>
            <w:vAlign w:val="center"/>
          </w:tcPr>
          <w:p w14:paraId="36C1B791">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11</w:t>
            </w:r>
          </w:p>
        </w:tc>
        <w:tc>
          <w:tcPr>
            <w:tcW w:w="0" w:type="auto"/>
            <w:shd w:val="clear" w:color="auto" w:fill="auto"/>
            <w:vAlign w:val="center"/>
          </w:tcPr>
          <w:p w14:paraId="29CAFC52">
            <w:pPr>
              <w:spacing w:line="48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表单设计</w:t>
            </w:r>
          </w:p>
        </w:tc>
        <w:tc>
          <w:tcPr>
            <w:tcW w:w="0" w:type="auto"/>
            <w:shd w:val="clear" w:color="auto" w:fill="auto"/>
            <w:vAlign w:val="center"/>
          </w:tcPr>
          <w:p w14:paraId="11CC31C4">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1、表单模板可以通过不同表单拼接而成，实现数据同步更新；</w:t>
            </w:r>
          </w:p>
          <w:p w14:paraId="2DE6FC61">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2、表单挂载的附件可以控制上传个数。</w:t>
            </w:r>
          </w:p>
        </w:tc>
      </w:tr>
      <w:tr w14:paraId="319B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0" w:type="auto"/>
            <w:shd w:val="clear" w:color="auto" w:fill="auto"/>
            <w:noWrap/>
            <w:vAlign w:val="center"/>
          </w:tcPr>
          <w:p w14:paraId="0E3BABA4">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12</w:t>
            </w:r>
          </w:p>
        </w:tc>
        <w:tc>
          <w:tcPr>
            <w:tcW w:w="0" w:type="auto"/>
            <w:shd w:val="clear" w:color="auto" w:fill="auto"/>
            <w:vAlign w:val="center"/>
          </w:tcPr>
          <w:p w14:paraId="06B6A224">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系统集成</w:t>
            </w:r>
          </w:p>
        </w:tc>
        <w:tc>
          <w:tcPr>
            <w:tcW w:w="0" w:type="auto"/>
            <w:shd w:val="clear" w:color="auto" w:fill="auto"/>
            <w:vAlign w:val="center"/>
          </w:tcPr>
          <w:p w14:paraId="31891A56">
            <w:pPr>
              <w:spacing w:line="240" w:lineRule="auto"/>
              <w:rPr>
                <w:rFonts w:hint="default" w:ascii="宋体" w:hAnsi="宋体" w:eastAsia="宋体" w:cs="Times New Roman"/>
                <w:sz w:val="24"/>
                <w:szCs w:val="24"/>
                <w:lang w:val="en-US" w:eastAsia="zh-CN"/>
              </w:rPr>
            </w:pPr>
            <w:r>
              <w:rPr>
                <w:rFonts w:hint="eastAsia" w:ascii="宋体" w:hAnsi="宋体" w:eastAsia="宋体" w:cs="宋体"/>
                <w:color w:val="auto"/>
                <w:kern w:val="2"/>
                <w:sz w:val="24"/>
                <w:szCs w:val="28"/>
                <w:lang w:val="en-US" w:eastAsia="zh-CN" w:bidi="ar-SA"/>
              </w:rPr>
              <w:t>O</w:t>
            </w:r>
            <w:r>
              <w:rPr>
                <w:rFonts w:hint="eastAsia" w:ascii="宋体" w:hAnsi="宋体" w:eastAsia="宋体" w:cs="Times New Roman"/>
                <w:sz w:val="24"/>
                <w:szCs w:val="24"/>
                <w:lang w:val="en-US" w:eastAsia="zh-CN"/>
              </w:rPr>
              <w:t>A系统需与我门诊部现有“电子签章系统”集成（具体费用需中标方提前和电子签章系统厂商沟通，我门诊部不再支付其对接费用），并提供具备对接能力证明材料，否则视为无效投标。</w:t>
            </w:r>
          </w:p>
        </w:tc>
      </w:tr>
      <w:tr w14:paraId="3F94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0" w:type="auto"/>
            <w:shd w:val="clear" w:color="auto" w:fill="auto"/>
            <w:noWrap/>
            <w:vAlign w:val="center"/>
          </w:tcPr>
          <w:p w14:paraId="2C155902">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13</w:t>
            </w:r>
          </w:p>
        </w:tc>
        <w:tc>
          <w:tcPr>
            <w:tcW w:w="0" w:type="auto"/>
            <w:shd w:val="clear" w:color="auto" w:fill="auto"/>
            <w:vAlign w:val="center"/>
          </w:tcPr>
          <w:p w14:paraId="574B7B6F">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授权要求</w:t>
            </w:r>
          </w:p>
        </w:tc>
        <w:tc>
          <w:tcPr>
            <w:tcW w:w="0" w:type="auto"/>
            <w:shd w:val="clear" w:color="auto" w:fill="auto"/>
            <w:vAlign w:val="center"/>
          </w:tcPr>
          <w:p w14:paraId="138F592C">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产品需提供永久使用授权许可并免费同步版本升级。</w:t>
            </w:r>
          </w:p>
        </w:tc>
      </w:tr>
      <w:tr w14:paraId="6713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0" w:type="auto"/>
            <w:shd w:val="clear" w:color="auto" w:fill="auto"/>
            <w:noWrap/>
            <w:vAlign w:val="center"/>
          </w:tcPr>
          <w:p w14:paraId="4FB24769">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14</w:t>
            </w:r>
          </w:p>
        </w:tc>
        <w:tc>
          <w:tcPr>
            <w:tcW w:w="0" w:type="auto"/>
            <w:shd w:val="clear" w:color="auto" w:fill="auto"/>
            <w:vAlign w:val="center"/>
          </w:tcPr>
          <w:p w14:paraId="0CCD10F2">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售后要求</w:t>
            </w:r>
          </w:p>
        </w:tc>
        <w:tc>
          <w:tcPr>
            <w:tcW w:w="0" w:type="auto"/>
            <w:shd w:val="clear" w:color="auto" w:fill="auto"/>
            <w:vAlign w:val="center"/>
          </w:tcPr>
          <w:p w14:paraId="5E07652E">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项目软件上线验收后需提供一年的免费技术维护。</w:t>
            </w:r>
          </w:p>
        </w:tc>
      </w:tr>
      <w:tr w14:paraId="454B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noWrap/>
            <w:vAlign w:val="center"/>
          </w:tcPr>
          <w:p w14:paraId="52A5795E">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15</w:t>
            </w:r>
          </w:p>
        </w:tc>
        <w:tc>
          <w:tcPr>
            <w:tcW w:w="0" w:type="auto"/>
            <w:shd w:val="clear" w:color="auto" w:fill="auto"/>
            <w:vAlign w:val="center"/>
          </w:tcPr>
          <w:p w14:paraId="22961C39">
            <w:pPr>
              <w:spacing w:line="480" w:lineRule="auto"/>
              <w:rPr>
                <w:rFonts w:hint="default"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云主机要求</w:t>
            </w:r>
          </w:p>
        </w:tc>
        <w:tc>
          <w:tcPr>
            <w:tcW w:w="0" w:type="auto"/>
            <w:shd w:val="clear" w:color="auto" w:fill="auto"/>
            <w:vAlign w:val="center"/>
          </w:tcPr>
          <w:p w14:paraId="318DF48E">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CPU：8核（2.8GHz以上），内存：16G  ，硬盘：500G</w:t>
            </w:r>
          </w:p>
          <w:p w14:paraId="2D1E47A0">
            <w:pPr>
              <w:spacing w:line="240" w:lineRule="auto"/>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带宽：10M，期限：1年</w:t>
            </w:r>
          </w:p>
        </w:tc>
      </w:tr>
    </w:tbl>
    <w:p w14:paraId="3F8DF8B2">
      <w:pPr>
        <w:widowControl w:val="0"/>
        <w:snapToGrid w:val="0"/>
        <w:spacing w:line="360" w:lineRule="auto"/>
        <w:rPr>
          <w:rFonts w:ascii="Times New Roman" w:hAnsi="宋体" w:eastAsia="宋体" w:cs="Times New Roman"/>
          <w:b/>
          <w:sz w:val="24"/>
          <w:szCs w:val="24"/>
        </w:rPr>
      </w:pPr>
      <w:r>
        <w:rPr>
          <w:rFonts w:hint="eastAsia" w:ascii="Times New Roman" w:hAnsi="宋体" w:eastAsia="宋体" w:cs="Times New Roman"/>
          <w:b/>
          <w:sz w:val="24"/>
          <w:szCs w:val="24"/>
        </w:rPr>
        <w:t>二、</w:t>
      </w:r>
      <w:r>
        <w:rPr>
          <w:rFonts w:hint="eastAsia" w:ascii="宋体" w:hAnsi="宋体" w:eastAsia="宋体" w:cs="Times New Roman"/>
          <w:b/>
          <w:sz w:val="24"/>
          <w:szCs w:val="24"/>
        </w:rPr>
        <w:t>安装和调试</w:t>
      </w:r>
    </w:p>
    <w:p w14:paraId="63B039F7">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1.在合同签订后一周内实施团队开始驻场办公，</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个月内完成综合信息管理平台（OA）</w:t>
      </w:r>
      <w:r>
        <w:rPr>
          <w:rFonts w:hint="eastAsia" w:ascii="宋体" w:hAnsi="宋体" w:eastAsia="宋体" w:cs="Times New Roman"/>
          <w:sz w:val="24"/>
          <w:szCs w:val="24"/>
          <w:lang w:val="en-US" w:eastAsia="zh-CN"/>
        </w:rPr>
        <w:t>系统功能实施、开发、上线试运行</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个月内完成综合信息管理平台（OA）</w:t>
      </w:r>
      <w:r>
        <w:rPr>
          <w:rFonts w:hint="eastAsia" w:ascii="宋体" w:hAnsi="宋体" w:eastAsia="宋体" w:cs="Times New Roman"/>
          <w:sz w:val="24"/>
          <w:szCs w:val="24"/>
          <w:lang w:val="en-US" w:eastAsia="zh-CN"/>
        </w:rPr>
        <w:t>系统的验收</w:t>
      </w:r>
      <w:r>
        <w:rPr>
          <w:rFonts w:hint="eastAsia" w:ascii="宋体" w:hAnsi="宋体" w:eastAsia="宋体" w:cs="Times New Roman"/>
          <w:sz w:val="24"/>
          <w:szCs w:val="24"/>
          <w:lang w:eastAsia="zh-CN"/>
        </w:rPr>
        <w:t>；</w:t>
      </w:r>
    </w:p>
    <w:p w14:paraId="4C156B0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2.供应商应在合同规定的安装调试期内完成该项工作。如因供应商责任而造成延期，所有因延期而产生的费用由供应商承担；</w:t>
      </w:r>
    </w:p>
    <w:p w14:paraId="2C72ED7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3.结合安装调试，供应商专业技术人员应对采购方的技术人员进行使用操作、维修、保养等技术的现场培训，直至采购方的技术人员能熟练独立工作。供应商委派的专业技术人员所需费用均由供应商承担。</w:t>
      </w:r>
    </w:p>
    <w:p w14:paraId="1F22F332">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 xml:space="preserve">三、质量保证期及维修服务 </w:t>
      </w:r>
    </w:p>
    <w:p w14:paraId="1D40E8AA">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en-GB"/>
        </w:rPr>
        <w:t>报价人对此次询价采购的</w:t>
      </w:r>
      <w:r>
        <w:rPr>
          <w:rFonts w:hint="eastAsia" w:ascii="宋体" w:hAnsi="宋体" w:eastAsia="宋体" w:cs="Times New Roman"/>
          <w:sz w:val="24"/>
          <w:szCs w:val="24"/>
          <w:lang w:val="en-GB" w:eastAsia="zh-CN"/>
        </w:rPr>
        <w:t>系统</w:t>
      </w:r>
      <w:r>
        <w:rPr>
          <w:rFonts w:hint="eastAsia" w:ascii="宋体" w:hAnsi="宋体" w:eastAsia="宋体" w:cs="Times New Roman"/>
          <w:sz w:val="24"/>
          <w:szCs w:val="24"/>
          <w:lang w:val="en-GB"/>
        </w:rPr>
        <w:t>应按照询价文件的要求提供合格的产品，</w:t>
      </w:r>
      <w:r>
        <w:rPr>
          <w:rFonts w:hint="eastAsia" w:ascii="宋体" w:hAnsi="宋体" w:eastAsia="宋体" w:cs="Times New Roman"/>
          <w:sz w:val="24"/>
          <w:szCs w:val="24"/>
          <w:lang w:val="en-GB" w:eastAsia="zh-CN"/>
        </w:rPr>
        <w:t>系统</w:t>
      </w:r>
      <w:r>
        <w:rPr>
          <w:rFonts w:hint="eastAsia" w:ascii="宋体" w:hAnsi="宋体" w:eastAsia="宋体" w:cs="Times New Roman"/>
          <w:sz w:val="24"/>
          <w:szCs w:val="24"/>
          <w:lang w:val="en-GB"/>
        </w:rPr>
        <w:t>质保期从最终验收合格之日起算，</w:t>
      </w:r>
      <w:r>
        <w:rPr>
          <w:rFonts w:hint="eastAsia" w:ascii="宋体" w:hAnsi="宋体" w:eastAsia="宋体" w:cs="Times New Roman"/>
          <w:sz w:val="24"/>
          <w:szCs w:val="24"/>
          <w:lang w:val="en-US" w:eastAsia="zh-CN"/>
        </w:rPr>
        <w:t>系统上线验收后需提供一年的免费技术维护。</w:t>
      </w:r>
    </w:p>
    <w:p w14:paraId="0D1F02DE">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GB"/>
        </w:rPr>
        <w:t>2.本项目报价人应对此次询价采购的</w:t>
      </w:r>
      <w:r>
        <w:rPr>
          <w:rFonts w:hint="eastAsia" w:ascii="宋体" w:hAnsi="宋体" w:eastAsia="宋体" w:cs="Times New Roman"/>
          <w:sz w:val="24"/>
          <w:szCs w:val="24"/>
          <w:lang w:val="en-GB" w:eastAsia="zh-CN"/>
        </w:rPr>
        <w:t>系统</w:t>
      </w:r>
      <w:r>
        <w:rPr>
          <w:rFonts w:hint="eastAsia" w:ascii="宋体" w:hAnsi="宋体" w:eastAsia="宋体" w:cs="Times New Roman"/>
          <w:sz w:val="24"/>
          <w:szCs w:val="24"/>
          <w:lang w:val="en-GB"/>
        </w:rPr>
        <w:t>承诺自产品验收合格后运行中发生故障，</w:t>
      </w:r>
      <w:r>
        <w:rPr>
          <w:rFonts w:hint="eastAsia" w:ascii="宋体" w:hAnsi="宋体" w:eastAsia="宋体" w:cs="Times New Roman"/>
          <w:sz w:val="24"/>
          <w:szCs w:val="24"/>
          <w:lang w:val="en-US" w:eastAsia="zh-CN"/>
        </w:rPr>
        <w:t>保修期内，须按合同条款提供免费服务，并提供7*24小时的优质售后服务。对于电话或远程网络方式无法解决的问题或系统发生严重故障时，系统提供商现场到达响应时间为6时，维修工程师应提供365*24的现场维修并排除故障。所</w:t>
      </w:r>
      <w:r>
        <w:rPr>
          <w:rFonts w:hint="eastAsia" w:ascii="宋体" w:hAnsi="宋体" w:eastAsia="宋体" w:cs="Times New Roman"/>
          <w:sz w:val="24"/>
          <w:szCs w:val="24"/>
          <w:lang w:val="en-GB" w:eastAsia="zh-CN"/>
        </w:rPr>
        <w:t>有</w:t>
      </w:r>
      <w:r>
        <w:rPr>
          <w:rFonts w:hint="eastAsia" w:ascii="宋体" w:hAnsi="宋体" w:eastAsia="宋体" w:cs="Times New Roman"/>
          <w:sz w:val="24"/>
          <w:szCs w:val="24"/>
          <w:lang w:val="en-GB"/>
        </w:rPr>
        <w:t>售后服务不得由中标人直接或间接外包给第三方</w:t>
      </w:r>
      <w:r>
        <w:rPr>
          <w:rFonts w:hint="eastAsia" w:ascii="宋体" w:hAnsi="宋体" w:eastAsia="宋体" w:cs="Times New Roman"/>
          <w:sz w:val="24"/>
          <w:szCs w:val="24"/>
          <w:lang w:val="en-GB" w:eastAsia="zh-CN"/>
        </w:rPr>
        <w:t>。</w:t>
      </w:r>
    </w:p>
    <w:p w14:paraId="095F4192">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GB"/>
        </w:rPr>
        <w:t>3. 免费质量保修期结束后，报价人提供终身免费咨询及有偿维修服务</w:t>
      </w:r>
      <w:r>
        <w:rPr>
          <w:rFonts w:hint="eastAsia" w:ascii="宋体" w:hAnsi="宋体" w:eastAsia="宋体" w:cs="Times New Roman"/>
          <w:sz w:val="24"/>
          <w:szCs w:val="24"/>
          <w:lang w:val="en-GB" w:eastAsia="zh-CN"/>
        </w:rPr>
        <w:t>。</w:t>
      </w:r>
    </w:p>
    <w:p w14:paraId="0A0076D1">
      <w:pPr>
        <w:spacing w:line="360" w:lineRule="auto"/>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322E2CC0">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1.验收标准：设备按国家行业标准及询价文件“采购内容及要求”进行验收。</w:t>
      </w:r>
      <w:r>
        <w:rPr>
          <w:rFonts w:hint="eastAsia" w:ascii="宋体" w:hAnsi="宋体" w:eastAsia="宋体" w:cs="Times New Roman"/>
          <w:sz w:val="24"/>
          <w:szCs w:val="24"/>
          <w:lang w:val="en-GB" w:eastAsia="zh-CN"/>
        </w:rPr>
        <w:t>系统</w:t>
      </w:r>
      <w:r>
        <w:rPr>
          <w:rFonts w:hint="eastAsia" w:ascii="宋体" w:hAnsi="宋体" w:eastAsia="宋体" w:cs="Times New Roman"/>
          <w:sz w:val="24"/>
          <w:szCs w:val="24"/>
          <w:lang w:val="en-GB"/>
        </w:rPr>
        <w:t>质量达到设计要求安装调试各项指标符合技术参数；所产生费用由供应商负责。</w:t>
      </w:r>
    </w:p>
    <w:p w14:paraId="5ED1A7F8">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2.验收程序：货物验收分为安装调试检验及最终验收两个阶段。</w:t>
      </w:r>
    </w:p>
    <w:p w14:paraId="64C436E7">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a.系统安装调试检验：系统安装、调试过程，供应商应作详细检验记录。安装调试检验结果应符合制造厂产品标准和询价文件的规定。检验记录应真实并提供给采购方。</w:t>
      </w:r>
    </w:p>
    <w:p w14:paraId="64EF50E7">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b.最终验收：⑴ 系统安装、调试结束后，要求进行联合验收（最终验收具体程序和要求以合同为准）。中标人应在验收时提供不限于如下内容的材料:信息安全保密协议、《软件需求规格说明书》、《系统功能清单》、《系统安装及配置说明书》《用户手册》等。</w:t>
      </w:r>
    </w:p>
    <w:p w14:paraId="17C8CA3A">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⑵ 最终验收所发生的一切费用由供应商承担。</w:t>
      </w:r>
    </w:p>
    <w:p w14:paraId="3D760AF0">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五、知识产权  </w:t>
      </w:r>
    </w:p>
    <w:p w14:paraId="19BF250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F34A04C">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059BF0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1.银行转账；</w:t>
      </w:r>
    </w:p>
    <w:p w14:paraId="4EDA5987">
      <w:pPr>
        <w:spacing w:line="360" w:lineRule="auto"/>
        <w:ind w:firstLine="480" w:firstLineChars="200"/>
        <w:rPr>
          <w:rFonts w:ascii="宋体" w:hAnsi="宋体"/>
          <w:sz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合同生效后预付合同价款30%，最终验收合格后一个月内支付剩余70%的合同款</w:t>
      </w:r>
      <w:r>
        <w:rPr>
          <w:rFonts w:hint="eastAsia" w:ascii="宋体" w:hAnsi="宋体" w:eastAsia="宋体" w:cs="Times New Roman"/>
          <w:sz w:val="24"/>
          <w:szCs w:val="24"/>
        </w:rPr>
        <w:t>。</w:t>
      </w:r>
    </w:p>
    <w:p w14:paraId="4C5387A3">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u w:val="single"/>
          <w:lang w:eastAsia="zh-CN"/>
        </w:rPr>
        <w:t>医院</w:t>
      </w:r>
      <w:r>
        <w:rPr>
          <w:rFonts w:hint="eastAsia"/>
          <w:sz w:val="24"/>
          <w:u w:val="single"/>
        </w:rPr>
        <w:t>综合信息管理平台（OA）</w:t>
      </w:r>
      <w:r>
        <w:rPr>
          <w:rFonts w:hint="eastAsia"/>
          <w:sz w:val="24"/>
          <w:u w:val="single"/>
          <w:lang w:eastAsia="zh-CN"/>
        </w:rPr>
        <w:t>系统</w:t>
      </w:r>
      <w:r>
        <w:rPr>
          <w:rFonts w:hint="eastAsia"/>
          <w:sz w:val="24"/>
          <w:u w:val="single"/>
        </w:rPr>
        <w:t>询价</w:t>
      </w:r>
      <w:r>
        <w:rPr>
          <w:rFonts w:hint="eastAsia" w:ascii="宋体" w:hAnsi="宋体"/>
          <w:sz w:val="24"/>
          <w:lang w:val="zh-CN"/>
        </w:rPr>
        <w:t>项目活动，全权代表本公司处理报价过程的一切事宜，包括但不限于：报价、投标、参与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0139"/>
    <w:multiLevelType w:val="singleLevel"/>
    <w:tmpl w:val="8E3D0139"/>
    <w:lvl w:ilvl="0" w:tentative="0">
      <w:start w:val="1"/>
      <w:numFmt w:val="decimal"/>
      <w:suff w:val="nothing"/>
      <w:lvlText w:val="%1、"/>
      <w:lvlJc w:val="left"/>
    </w:lvl>
  </w:abstractNum>
  <w:abstractNum w:abstractNumId="1">
    <w:nsid w:val="01C29B07"/>
    <w:multiLevelType w:val="singleLevel"/>
    <w:tmpl w:val="01C29B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2DE7B1A"/>
    <w:rsid w:val="044376CA"/>
    <w:rsid w:val="52FC7B22"/>
    <w:rsid w:val="62825678"/>
    <w:rsid w:val="6300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 w:type="paragraph" w:customStyle="1" w:styleId="8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1228</Words>
  <Characters>1277</Characters>
  <Lines>30</Lines>
  <Paragraphs>8</Paragraphs>
  <TotalTime>35</TotalTime>
  <ScaleCrop>false</ScaleCrop>
  <LinksUpToDate>false</LinksUpToDate>
  <CharactersWithSpaces>1327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2024-12-19T01:34:00Z</cp:lastPrinted>
  <dcterms:modified xsi:type="dcterms:W3CDTF">2024-12-19T10:56:25Z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DBFB5C18C565489AA5A255C868E2922B_13</vt:lpwstr>
  </property>
</Properties>
</file>